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DFE4F7" w14:textId="097732F0" w:rsidR="006E6A4F" w:rsidRDefault="006E6A4F" w:rsidP="009923DC">
      <w:pPr>
        <w:rPr>
          <w:rFonts w:ascii="Helvetica" w:hAnsi="Helvetica"/>
          <w:b/>
          <w:sz w:val="22"/>
          <w:szCs w:val="22"/>
        </w:rPr>
      </w:pPr>
    </w:p>
    <w:p w14:paraId="3583ECC8" w14:textId="0D90A97E" w:rsidR="00C00C81" w:rsidRPr="00966B8A" w:rsidRDefault="00C00C81" w:rsidP="009923DC">
      <w:pPr>
        <w:pStyle w:val="Titre1"/>
        <w:spacing w:beforeLines="60" w:before="144" w:afterLines="60" w:after="144" w:line="260" w:lineRule="atLeast"/>
        <w:ind w:left="284" w:right="798"/>
        <w:contextualSpacing/>
        <w:rPr>
          <w:sz w:val="32"/>
          <w:szCs w:val="32"/>
        </w:rPr>
      </w:pPr>
      <w:r>
        <w:rPr>
          <w:sz w:val="32"/>
          <w:szCs w:val="32"/>
        </w:rPr>
        <w:t>CALL FOR</w:t>
      </w:r>
      <w:r>
        <w:rPr>
          <w:spacing w:val="-11"/>
          <w:sz w:val="32"/>
          <w:szCs w:val="32"/>
        </w:rPr>
        <w:t xml:space="preserve"> </w:t>
      </w:r>
      <w:r>
        <w:rPr>
          <w:sz w:val="32"/>
          <w:szCs w:val="32"/>
        </w:rPr>
        <w:t xml:space="preserve">PROPOSALS – SCAHT RESEARCH PROGRAM </w:t>
      </w:r>
      <w:r>
        <w:rPr>
          <w:rFonts w:ascii="Helvetica" w:hAnsi="Helvetica"/>
          <w:sz w:val="32"/>
          <w:szCs w:val="32"/>
        </w:rPr>
        <w:t>2029-2032</w:t>
      </w:r>
    </w:p>
    <w:p w14:paraId="0FD8174C" w14:textId="77777777" w:rsidR="006E6A4F" w:rsidRPr="00966B8A" w:rsidRDefault="006E6A4F" w:rsidP="00C00C81">
      <w:pPr>
        <w:pStyle w:val="Corpsdetexte"/>
        <w:spacing w:beforeLines="60" w:before="144" w:afterLines="60" w:after="144" w:line="260" w:lineRule="atLeast"/>
        <w:contextualSpacing/>
        <w:rPr>
          <w:b/>
          <w:sz w:val="21"/>
        </w:rPr>
      </w:pPr>
    </w:p>
    <w:p w14:paraId="4061559E" w14:textId="77777777" w:rsidR="00ED1765" w:rsidRPr="00966B8A" w:rsidRDefault="00ED1765" w:rsidP="00770D41">
      <w:pPr>
        <w:spacing w:after="120"/>
        <w:jc w:val="both"/>
        <w:outlineLvl w:val="0"/>
        <w:rPr>
          <w:rFonts w:ascii="Helvetica" w:hAnsi="Helvetica"/>
          <w:bCs/>
          <w:sz w:val="22"/>
          <w:szCs w:val="22"/>
          <w:lang w:val="en-GB"/>
        </w:rPr>
      </w:pPr>
    </w:p>
    <w:p w14:paraId="4F2C7807" w14:textId="27F3F0DB" w:rsidR="00C00C81" w:rsidRPr="00966B8A" w:rsidRDefault="00C00C81" w:rsidP="00770D41">
      <w:pPr>
        <w:spacing w:after="120"/>
        <w:jc w:val="both"/>
        <w:outlineLvl w:val="0"/>
        <w:rPr>
          <w:rFonts w:ascii="Helvetica" w:hAnsi="Helvetica"/>
          <w:bCs/>
          <w:sz w:val="22"/>
          <w:szCs w:val="22"/>
          <w:lang w:val="en-GB"/>
        </w:rPr>
      </w:pPr>
      <w:r>
        <w:rPr>
          <w:rFonts w:ascii="Helvetica" w:hAnsi="Helvetica"/>
          <w:bCs/>
          <w:sz w:val="22"/>
          <w:szCs w:val="22"/>
          <w:lang w:val="en-GB"/>
        </w:rPr>
        <w:t xml:space="preserve">The Swiss Centre for Applied Human Toxicology (SCAHT, </w:t>
      </w:r>
      <w:hyperlink r:id="rId8" w:history="1">
        <w:r>
          <w:rPr>
            <w:rFonts w:ascii="Helvetica" w:hAnsi="Helvetica"/>
            <w:bCs/>
            <w:sz w:val="22"/>
            <w:szCs w:val="22"/>
            <w:lang w:val="en-GB"/>
          </w:rPr>
          <w:t>http://www.scaht.org/</w:t>
        </w:r>
      </w:hyperlink>
      <w:r>
        <w:rPr>
          <w:rFonts w:ascii="Helvetica" w:hAnsi="Helvetica"/>
          <w:bCs/>
          <w:sz w:val="22"/>
          <w:szCs w:val="22"/>
          <w:lang w:val="en-GB"/>
        </w:rPr>
        <w:t>) was founded in 2009 and registered as a foundation in 2014. It belongs to the Swiss Article 15 Institutions of national importance and is funded by the Swiss Confederation and the Universities of Basel, Geneva, Lausanne and the FHNW School of Life Sciences. Its mission is to protect human health and contribute to a safer and healthier environment by advancing the science of human regulatory toxicology to benefit society.</w:t>
      </w:r>
    </w:p>
    <w:p w14:paraId="0ECCA8E3" w14:textId="3D94EDE1" w:rsidR="00C00C81" w:rsidRPr="00770D41" w:rsidRDefault="00C00C81" w:rsidP="00770D41">
      <w:pPr>
        <w:spacing w:after="120"/>
        <w:jc w:val="both"/>
        <w:outlineLvl w:val="0"/>
        <w:rPr>
          <w:rFonts w:ascii="Helvetica" w:hAnsi="Helvetica"/>
          <w:bCs/>
          <w:sz w:val="22"/>
          <w:szCs w:val="22"/>
          <w:lang w:val="en-GB"/>
        </w:rPr>
      </w:pPr>
      <w:r>
        <w:rPr>
          <w:rFonts w:ascii="Helvetica" w:hAnsi="Helvetica"/>
          <w:bCs/>
          <w:sz w:val="22"/>
          <w:szCs w:val="22"/>
          <w:lang w:val="en-GB"/>
        </w:rPr>
        <w:t xml:space="preserve">SCAHT research funding aims to fill an existing funding gap in Switzerland for applied toxicological research translating to regulatory use. Therefore, SCAHT funds integrated Swiss collaborative research projects that address topics related to human health and that are internationally recognized as areas of high concern. </w:t>
      </w:r>
    </w:p>
    <w:p w14:paraId="48C0E34B" w14:textId="4E9137E0" w:rsidR="00BC62AA" w:rsidRPr="00411FFD" w:rsidRDefault="00825BCA" w:rsidP="00770D41">
      <w:pPr>
        <w:spacing w:before="240" w:after="240"/>
        <w:outlineLvl w:val="0"/>
        <w:rPr>
          <w:rFonts w:ascii="Helvetica" w:hAnsi="Helvetica"/>
          <w:b/>
          <w:sz w:val="22"/>
          <w:szCs w:val="22"/>
        </w:rPr>
      </w:pPr>
      <w:r>
        <w:rPr>
          <w:rFonts w:ascii="Helvetica" w:hAnsi="Helvetica"/>
          <w:b/>
          <w:sz w:val="22"/>
          <w:szCs w:val="22"/>
        </w:rPr>
        <w:t>Context of SCAHT research</w:t>
      </w:r>
    </w:p>
    <w:p w14:paraId="573B9929" w14:textId="71A307DE" w:rsidR="00BC62AA" w:rsidRPr="00411FFD" w:rsidRDefault="00432005" w:rsidP="00E6106A">
      <w:pPr>
        <w:jc w:val="both"/>
        <w:outlineLvl w:val="0"/>
        <w:rPr>
          <w:rFonts w:ascii="Helvetica" w:hAnsi="Helvetica"/>
          <w:bCs/>
          <w:sz w:val="22"/>
          <w:szCs w:val="22"/>
          <w:lang w:val="en-GB"/>
        </w:rPr>
      </w:pPr>
      <w:r>
        <w:rPr>
          <w:rFonts w:ascii="Helvetica" w:hAnsi="Helvetica"/>
          <w:bCs/>
          <w:sz w:val="22"/>
          <w:szCs w:val="22"/>
          <w:lang w:val="en-GB"/>
        </w:rPr>
        <w:t xml:space="preserve">Chemical safety assessment is increasingly shifting from traditional animal testing towards human-relevant, mechanism-based approaches based on New Approach Methodologies, Artificial Intelligence and Next Generation Risk Assessment. Major international initiatives, including the adoption of the “European Roadmap towards phasing out animal testing for chemical safety assessment”, are accelerating this transformation. </w:t>
      </w:r>
    </w:p>
    <w:p w14:paraId="6317DEA5" w14:textId="18114EC1" w:rsidR="00432005" w:rsidRPr="00411FFD" w:rsidRDefault="00BC62AA" w:rsidP="0036559D">
      <w:pPr>
        <w:spacing w:after="240"/>
        <w:jc w:val="both"/>
        <w:outlineLvl w:val="0"/>
        <w:rPr>
          <w:rFonts w:ascii="Helvetica" w:hAnsi="Helvetica"/>
          <w:bCs/>
          <w:sz w:val="22"/>
          <w:szCs w:val="22"/>
          <w:lang w:val="en-GB"/>
        </w:rPr>
      </w:pPr>
      <w:r>
        <w:rPr>
          <w:rFonts w:ascii="Helvetica" w:hAnsi="Helvetica"/>
          <w:bCs/>
          <w:sz w:val="22"/>
          <w:szCs w:val="22"/>
          <w:lang w:val="en-GB"/>
        </w:rPr>
        <w:t xml:space="preserve">The current SCAHT funded research program gives priority to major human health issues of regulatory concern, i.e. neurotoxicity and endocrine disruption. These were explicitly identified by ECHA as key regulatory challenge areas within its “Key Areas of Regulatory Challenge” (KARC) framework. Given their continued scientific and regulatory importance, </w:t>
      </w:r>
      <w:proofErr w:type="gramStart"/>
      <w:r>
        <w:rPr>
          <w:rFonts w:ascii="Helvetica" w:hAnsi="Helvetica"/>
          <w:bCs/>
          <w:sz w:val="22"/>
          <w:szCs w:val="22"/>
          <w:lang w:val="en-GB"/>
        </w:rPr>
        <w:t>these focus</w:t>
      </w:r>
      <w:proofErr w:type="gramEnd"/>
      <w:r>
        <w:rPr>
          <w:rFonts w:ascii="Helvetica" w:hAnsi="Helvetica"/>
          <w:bCs/>
          <w:sz w:val="22"/>
          <w:szCs w:val="22"/>
          <w:lang w:val="en-GB"/>
        </w:rPr>
        <w:t xml:space="preserve"> areas have been maintained for the 2029–2032 funding period.</w:t>
      </w:r>
    </w:p>
    <w:p w14:paraId="6E9419CD" w14:textId="4D2E20C1" w:rsidR="00F27E5D" w:rsidRPr="004A6435" w:rsidRDefault="00FD5372" w:rsidP="004A6435">
      <w:pPr>
        <w:spacing w:after="240"/>
        <w:outlineLvl w:val="0"/>
        <w:rPr>
          <w:rFonts w:ascii="Helvetica" w:hAnsi="Helvetica"/>
          <w:b/>
          <w:sz w:val="22"/>
          <w:szCs w:val="22"/>
        </w:rPr>
      </w:pPr>
      <w:r>
        <w:rPr>
          <w:rFonts w:ascii="Helvetica" w:hAnsi="Helvetica"/>
          <w:b/>
          <w:sz w:val="22"/>
          <w:szCs w:val="22"/>
        </w:rPr>
        <w:t>Call for proposals</w:t>
      </w:r>
    </w:p>
    <w:p w14:paraId="04B25A7E" w14:textId="6AF317EA" w:rsidR="00793386" w:rsidRPr="00E83DD0" w:rsidRDefault="00793386" w:rsidP="00770D41">
      <w:pPr>
        <w:spacing w:after="120"/>
        <w:jc w:val="both"/>
        <w:outlineLvl w:val="0"/>
        <w:rPr>
          <w:rFonts w:ascii="Helvetica" w:hAnsi="Helvetica"/>
          <w:bCs/>
          <w:sz w:val="22"/>
          <w:szCs w:val="22"/>
          <w:lang w:val="en-GB"/>
        </w:rPr>
      </w:pPr>
      <w:r>
        <w:rPr>
          <w:rFonts w:ascii="Helvetica" w:hAnsi="Helvetica"/>
          <w:bCs/>
          <w:sz w:val="22"/>
          <w:szCs w:val="22"/>
          <w:lang w:val="en-GB"/>
        </w:rPr>
        <w:t>On the basis of the above-mentioned developments, the SCAHT aims at establishing two Swiss regulatory toxicology flagship projects, demonstrating how human-relevant New Approach Methodologies (NAMs), mechanistic biomarkers, and integrated kinetics can support Next Generation Risk Assessment (NGRA). To this end, Swiss research groups are invited to develop proposals within the 2029–2032 research program, focusing on the assessment of chemicals affecting female reproductive health and the nervous system.</w:t>
      </w:r>
    </w:p>
    <w:p w14:paraId="4C7CB1BE" w14:textId="6F35E538" w:rsidR="006E6A4F" w:rsidRDefault="006E6A4F">
      <w:pPr>
        <w:rPr>
          <w:rFonts w:ascii="Helvetica" w:hAnsi="Helvetica"/>
          <w:bCs/>
          <w:sz w:val="22"/>
          <w:szCs w:val="22"/>
          <w:lang w:val="en-GB"/>
        </w:rPr>
      </w:pPr>
      <w:r>
        <w:rPr>
          <w:rFonts w:ascii="Helvetica" w:hAnsi="Helvetica"/>
          <w:bCs/>
          <w:sz w:val="22"/>
          <w:szCs w:val="22"/>
          <w:lang w:val="en-GB"/>
        </w:rPr>
        <w:br w:type="page"/>
      </w:r>
    </w:p>
    <w:p w14:paraId="7279CC24" w14:textId="48F2BC43" w:rsidR="00260535" w:rsidRPr="001C6472" w:rsidRDefault="00260535" w:rsidP="00A53664">
      <w:pPr>
        <w:spacing w:after="120"/>
        <w:jc w:val="both"/>
        <w:outlineLvl w:val="0"/>
        <w:rPr>
          <w:rFonts w:ascii="Helvetica" w:hAnsi="Helvetica"/>
          <w:bCs/>
          <w:sz w:val="22"/>
          <w:szCs w:val="22"/>
          <w:lang w:val="en-GB"/>
        </w:rPr>
      </w:pPr>
      <w:r>
        <w:rPr>
          <w:rFonts w:ascii="Helvetica" w:hAnsi="Helvetica"/>
          <w:bCs/>
          <w:sz w:val="22"/>
          <w:szCs w:val="22"/>
          <w:lang w:val="en-GB"/>
        </w:rPr>
        <w:lastRenderedPageBreak/>
        <w:t xml:space="preserve">The SCAHT seeks project proposals that integrate hazard and internal exposure assessment, e.g. by using cutting-edge NAMs and kinetic modelling, and generally encourages the use of Artificial Intelligence (AI). The final goal is the establishment of </w:t>
      </w:r>
      <w:r w:rsidRPr="00FD4494">
        <w:rPr>
          <w:rFonts w:ascii="Helvetica" w:hAnsi="Helvetica"/>
          <w:bCs/>
          <w:i/>
          <w:iCs/>
          <w:sz w:val="22"/>
          <w:szCs w:val="22"/>
          <w:lang w:val="en-GB"/>
        </w:rPr>
        <w:t>in vitro/in silico</w:t>
      </w:r>
      <w:r>
        <w:rPr>
          <w:rFonts w:ascii="Helvetica" w:hAnsi="Helvetica"/>
          <w:bCs/>
          <w:sz w:val="22"/>
          <w:szCs w:val="22"/>
          <w:lang w:val="en-GB"/>
        </w:rPr>
        <w:t xml:space="preserve"> tools with high confidence level</w:t>
      </w:r>
      <w:r w:rsidR="00A12A1F">
        <w:rPr>
          <w:rFonts w:ascii="Helvetica" w:hAnsi="Helvetica"/>
          <w:bCs/>
          <w:sz w:val="22"/>
          <w:szCs w:val="22"/>
          <w:lang w:val="en-GB"/>
        </w:rPr>
        <w:t>s</w:t>
      </w:r>
      <w:r>
        <w:rPr>
          <w:rFonts w:ascii="Helvetica" w:hAnsi="Helvetica"/>
          <w:bCs/>
          <w:sz w:val="22"/>
          <w:szCs w:val="22"/>
          <w:lang w:val="en-GB"/>
        </w:rPr>
        <w:t xml:space="preserve"> for regulatory application within NGRA frameworks. Biological plausibility, reproducibility, and toxicological relevance should be demonstrated and applicability domains defined according to the principles of scientific validation:</w:t>
      </w:r>
    </w:p>
    <w:p w14:paraId="459988A0" w14:textId="66373C56" w:rsidR="00260535" w:rsidRPr="00966B8A" w:rsidRDefault="00260535" w:rsidP="00260535">
      <w:pPr>
        <w:numPr>
          <w:ilvl w:val="0"/>
          <w:numId w:val="10"/>
        </w:numPr>
        <w:spacing w:after="120"/>
        <w:jc w:val="both"/>
        <w:rPr>
          <w:rFonts w:ascii="Helvetica" w:hAnsi="Helvetica"/>
          <w:sz w:val="22"/>
          <w:szCs w:val="22"/>
          <w:lang w:val="en-GB"/>
        </w:rPr>
      </w:pPr>
      <w:r>
        <w:rPr>
          <w:rFonts w:ascii="Helvetica" w:hAnsi="Helvetica"/>
          <w:sz w:val="22"/>
          <w:szCs w:val="22"/>
          <w:lang w:val="en-GB"/>
        </w:rPr>
        <w:t>Set-up of appropriate test methods (according to Crofton et al. 2011</w:t>
      </w:r>
      <w:r>
        <w:rPr>
          <w:rStyle w:val="Appelnotedebasdep"/>
          <w:rFonts w:ascii="Helvetica" w:hAnsi="Helvetica"/>
          <w:sz w:val="22"/>
          <w:szCs w:val="22"/>
          <w:lang w:val="en-GB"/>
        </w:rPr>
        <w:footnoteReference w:id="1"/>
      </w:r>
      <w:r>
        <w:rPr>
          <w:rFonts w:ascii="Helvetica" w:hAnsi="Helvetica"/>
          <w:sz w:val="22"/>
          <w:szCs w:val="22"/>
          <w:lang w:val="en-GB"/>
        </w:rPr>
        <w:t>).</w:t>
      </w:r>
    </w:p>
    <w:p w14:paraId="2E1B2C3B" w14:textId="215EC530" w:rsidR="00260535" w:rsidRDefault="00260535" w:rsidP="00260535">
      <w:pPr>
        <w:numPr>
          <w:ilvl w:val="0"/>
          <w:numId w:val="10"/>
        </w:numPr>
        <w:spacing w:after="120"/>
        <w:jc w:val="both"/>
        <w:rPr>
          <w:rFonts w:ascii="Helvetica" w:hAnsi="Helvetica"/>
          <w:sz w:val="22"/>
          <w:szCs w:val="22"/>
          <w:lang w:val="en-GB"/>
        </w:rPr>
      </w:pPr>
      <w:r>
        <w:rPr>
          <w:rFonts w:ascii="Helvetica" w:hAnsi="Helvetica"/>
          <w:sz w:val="22"/>
          <w:szCs w:val="22"/>
          <w:lang w:val="en-GB"/>
        </w:rPr>
        <w:t xml:space="preserve">Demonstrate stable </w:t>
      </w:r>
      <w:r>
        <w:rPr>
          <w:rFonts w:ascii="Helvetica" w:hAnsi="Helvetica"/>
          <w:i/>
          <w:iCs/>
          <w:sz w:val="22"/>
          <w:szCs w:val="22"/>
          <w:lang w:val="en-GB"/>
        </w:rPr>
        <w:t>in vitro/in silico</w:t>
      </w:r>
      <w:r>
        <w:rPr>
          <w:rFonts w:ascii="Helvetica" w:hAnsi="Helvetica"/>
          <w:sz w:val="22"/>
          <w:szCs w:val="22"/>
          <w:lang w:val="en-GB"/>
        </w:rPr>
        <w:t xml:space="preserve"> tool performance.</w:t>
      </w:r>
    </w:p>
    <w:p w14:paraId="6548627E" w14:textId="77777777" w:rsidR="00CD0ED1" w:rsidRPr="00966B8A" w:rsidRDefault="00CD0ED1" w:rsidP="00CD0ED1">
      <w:pPr>
        <w:numPr>
          <w:ilvl w:val="0"/>
          <w:numId w:val="10"/>
        </w:numPr>
        <w:spacing w:after="120"/>
        <w:jc w:val="both"/>
        <w:rPr>
          <w:rFonts w:ascii="Helvetica" w:hAnsi="Helvetica"/>
          <w:sz w:val="22"/>
          <w:szCs w:val="22"/>
          <w:lang w:val="en-GB"/>
        </w:rPr>
      </w:pPr>
      <w:r>
        <w:rPr>
          <w:rFonts w:ascii="Helvetica" w:hAnsi="Helvetica"/>
          <w:sz w:val="22"/>
          <w:szCs w:val="22"/>
          <w:lang w:val="en-GB"/>
        </w:rPr>
        <w:t>Verify that key biological pathways respond appropriately.</w:t>
      </w:r>
    </w:p>
    <w:p w14:paraId="473E1464" w14:textId="101EA3A6" w:rsidR="00CD0ED1" w:rsidRPr="00CD0ED1" w:rsidRDefault="00CD0ED1" w:rsidP="00CD0ED1">
      <w:pPr>
        <w:numPr>
          <w:ilvl w:val="0"/>
          <w:numId w:val="10"/>
        </w:numPr>
        <w:spacing w:after="120"/>
        <w:jc w:val="both"/>
        <w:rPr>
          <w:rFonts w:ascii="Helvetica" w:hAnsi="Helvetica"/>
          <w:sz w:val="22"/>
          <w:szCs w:val="22"/>
          <w:lang w:val="en-GB"/>
        </w:rPr>
      </w:pPr>
      <w:r>
        <w:rPr>
          <w:rFonts w:ascii="Helvetica" w:hAnsi="Helvetica"/>
          <w:sz w:val="22"/>
          <w:szCs w:val="22"/>
          <w:lang w:val="en-GB"/>
        </w:rPr>
        <w:t>Show that known pathways of toxicity are represented.</w:t>
      </w:r>
    </w:p>
    <w:p w14:paraId="637C9F8F" w14:textId="39633328" w:rsidR="00260535" w:rsidRPr="00966B8A" w:rsidRDefault="00260535" w:rsidP="00260535">
      <w:pPr>
        <w:numPr>
          <w:ilvl w:val="0"/>
          <w:numId w:val="10"/>
        </w:numPr>
        <w:spacing w:after="120"/>
        <w:jc w:val="both"/>
        <w:rPr>
          <w:rFonts w:ascii="Helvetica" w:hAnsi="Helvetica"/>
          <w:sz w:val="22"/>
          <w:szCs w:val="22"/>
          <w:lang w:val="en-GB"/>
        </w:rPr>
      </w:pPr>
      <w:r>
        <w:rPr>
          <w:rFonts w:ascii="Helvetica" w:hAnsi="Helvetica"/>
          <w:sz w:val="22"/>
          <w:szCs w:val="22"/>
          <w:lang w:val="en-GB"/>
        </w:rPr>
        <w:t>Show within</w:t>
      </w:r>
      <w:r w:rsidR="00A12A1F">
        <w:rPr>
          <w:rFonts w:ascii="Helvetica" w:hAnsi="Helvetica"/>
          <w:sz w:val="22"/>
          <w:szCs w:val="22"/>
          <w:lang w:val="en-GB"/>
        </w:rPr>
        <w:t xml:space="preserve"> (intra-)</w:t>
      </w:r>
      <w:r>
        <w:rPr>
          <w:rFonts w:ascii="Helvetica" w:hAnsi="Helvetica"/>
          <w:sz w:val="22"/>
          <w:szCs w:val="22"/>
          <w:lang w:val="en-GB"/>
        </w:rPr>
        <w:t xml:space="preserve"> or between</w:t>
      </w:r>
      <w:r w:rsidR="00A12A1F">
        <w:rPr>
          <w:rFonts w:ascii="Helvetica" w:hAnsi="Helvetica"/>
          <w:sz w:val="22"/>
          <w:szCs w:val="22"/>
          <w:lang w:val="en-GB"/>
        </w:rPr>
        <w:t xml:space="preserve"> (inter-)laboratory </w:t>
      </w:r>
      <w:r>
        <w:rPr>
          <w:rFonts w:ascii="Helvetica" w:hAnsi="Helvetica"/>
          <w:sz w:val="22"/>
          <w:szCs w:val="22"/>
          <w:lang w:val="en-GB"/>
        </w:rPr>
        <w:t>validation.</w:t>
      </w:r>
    </w:p>
    <w:p w14:paraId="6C1FF8DC" w14:textId="2DA2EA89" w:rsidR="00260535" w:rsidRPr="00966B8A" w:rsidRDefault="00260535" w:rsidP="00260535">
      <w:pPr>
        <w:numPr>
          <w:ilvl w:val="0"/>
          <w:numId w:val="10"/>
        </w:numPr>
        <w:spacing w:after="120"/>
        <w:jc w:val="both"/>
        <w:rPr>
          <w:rFonts w:ascii="Helvetica" w:hAnsi="Helvetica"/>
          <w:sz w:val="22"/>
          <w:szCs w:val="22"/>
          <w:lang w:val="en-GB"/>
        </w:rPr>
      </w:pPr>
      <w:r>
        <w:rPr>
          <w:rFonts w:ascii="Helvetica" w:hAnsi="Helvetica"/>
          <w:sz w:val="22"/>
          <w:szCs w:val="22"/>
          <w:lang w:val="en-GB"/>
        </w:rPr>
        <w:t>Test a panel of reference chemicals, including known negatives and positives.</w:t>
      </w:r>
    </w:p>
    <w:p w14:paraId="219AFA52" w14:textId="77777777" w:rsidR="00260535" w:rsidRPr="00966B8A" w:rsidRDefault="00260535" w:rsidP="00260535">
      <w:pPr>
        <w:numPr>
          <w:ilvl w:val="0"/>
          <w:numId w:val="10"/>
        </w:numPr>
        <w:spacing w:after="120"/>
        <w:jc w:val="both"/>
        <w:rPr>
          <w:rFonts w:ascii="Helvetica" w:hAnsi="Helvetica"/>
          <w:sz w:val="22"/>
          <w:szCs w:val="22"/>
          <w:lang w:val="en-GB"/>
        </w:rPr>
      </w:pPr>
      <w:r>
        <w:rPr>
          <w:rFonts w:ascii="Helvetica" w:hAnsi="Helvetica"/>
          <w:sz w:val="22"/>
          <w:szCs w:val="22"/>
          <w:lang w:val="en-GB"/>
        </w:rPr>
        <w:t>Define sensitivity, specificity, and assay variability.</w:t>
      </w:r>
    </w:p>
    <w:p w14:paraId="45EEA26E" w14:textId="2DAE4705" w:rsidR="00530FAC" w:rsidRPr="00E83DD0" w:rsidRDefault="00EB344C" w:rsidP="006C55BE">
      <w:pPr>
        <w:spacing w:before="240"/>
        <w:jc w:val="both"/>
        <w:outlineLvl w:val="0"/>
        <w:rPr>
          <w:rFonts w:ascii="Helvetica" w:hAnsi="Helvetica"/>
          <w:bCs/>
          <w:sz w:val="22"/>
          <w:szCs w:val="22"/>
          <w:lang w:val="en-GB"/>
        </w:rPr>
      </w:pPr>
      <w:r>
        <w:rPr>
          <w:rFonts w:ascii="Helvetica" w:hAnsi="Helvetica"/>
          <w:bCs/>
          <w:sz w:val="22"/>
          <w:szCs w:val="22"/>
          <w:lang w:val="en-GB"/>
        </w:rPr>
        <w:t xml:space="preserve">Each proposed project should be built on a collaborative effort of a </w:t>
      </w:r>
      <w:r>
        <w:rPr>
          <w:rFonts w:ascii="Helvetica" w:hAnsi="Helvetica"/>
          <w:b/>
          <w:sz w:val="22"/>
          <w:szCs w:val="22"/>
          <w:lang w:val="en-GB"/>
        </w:rPr>
        <w:t>project lead who is currently a member of the SCAHT and research groups from Swiss institutions.</w:t>
      </w:r>
    </w:p>
    <w:p w14:paraId="1A11C639" w14:textId="136AF377" w:rsidR="00411AD0" w:rsidRPr="00966B8A" w:rsidRDefault="006E1FDD" w:rsidP="00ED1773">
      <w:pPr>
        <w:pStyle w:val="Paragraphedeliste"/>
        <w:numPr>
          <w:ilvl w:val="0"/>
          <w:numId w:val="18"/>
        </w:numPr>
        <w:spacing w:before="240" w:after="120"/>
        <w:jc w:val="both"/>
        <w:outlineLvl w:val="0"/>
        <w:rPr>
          <w:rFonts w:ascii="Helvetica" w:hAnsi="Helvetica"/>
          <w:b/>
          <w:iCs/>
          <w:color w:val="C00000"/>
          <w:sz w:val="28"/>
          <w:szCs w:val="28"/>
        </w:rPr>
      </w:pPr>
      <w:r>
        <w:rPr>
          <w:rFonts w:ascii="Helvetica" w:hAnsi="Helvetica"/>
          <w:b/>
          <w:iCs/>
          <w:color w:val="C00000"/>
          <w:sz w:val="28"/>
          <w:szCs w:val="28"/>
        </w:rPr>
        <w:t>Disease-based focus areas</w:t>
      </w:r>
    </w:p>
    <w:p w14:paraId="6941A2D5" w14:textId="25316D56" w:rsidR="006E1FDD" w:rsidRDefault="00C9719D" w:rsidP="003531F3">
      <w:pPr>
        <w:spacing w:after="120"/>
        <w:jc w:val="both"/>
        <w:rPr>
          <w:rFonts w:ascii="Helvetica" w:hAnsi="Helvetica"/>
          <w:sz w:val="22"/>
          <w:szCs w:val="22"/>
        </w:rPr>
      </w:pPr>
      <w:r>
        <w:rPr>
          <w:rFonts w:ascii="Helvetica" w:hAnsi="Helvetica"/>
          <w:sz w:val="22"/>
          <w:szCs w:val="22"/>
        </w:rPr>
        <w:t xml:space="preserve">The SCAHT is seeking project proposals in the two following topic areas: </w:t>
      </w:r>
    </w:p>
    <w:p w14:paraId="3640E0F6" w14:textId="04CDD041" w:rsidR="00C150B1" w:rsidRPr="00966B8A" w:rsidRDefault="00C150B1" w:rsidP="00C150B1">
      <w:pPr>
        <w:pStyle w:val="Paragraphedeliste"/>
        <w:numPr>
          <w:ilvl w:val="0"/>
          <w:numId w:val="21"/>
        </w:numPr>
        <w:spacing w:after="240"/>
        <w:jc w:val="both"/>
        <w:rPr>
          <w:rFonts w:ascii="Helvetica" w:hAnsi="Helvetica"/>
          <w:sz w:val="22"/>
          <w:szCs w:val="22"/>
        </w:rPr>
      </w:pPr>
      <w:r>
        <w:rPr>
          <w:rFonts w:ascii="Helvetica" w:hAnsi="Helvetica"/>
          <w:sz w:val="22"/>
          <w:szCs w:val="22"/>
        </w:rPr>
        <w:t xml:space="preserve">Female Reproductive Toxicity Assessment </w:t>
      </w:r>
    </w:p>
    <w:p w14:paraId="6C3F0DEC" w14:textId="66BAF433" w:rsidR="00C150B1" w:rsidRPr="00966B8A" w:rsidRDefault="00C150B1" w:rsidP="00C150B1">
      <w:pPr>
        <w:pStyle w:val="Paragraphedeliste"/>
        <w:numPr>
          <w:ilvl w:val="0"/>
          <w:numId w:val="21"/>
        </w:numPr>
        <w:spacing w:after="120"/>
        <w:jc w:val="both"/>
        <w:rPr>
          <w:rFonts w:ascii="Helvetica" w:hAnsi="Helvetica"/>
          <w:sz w:val="22"/>
          <w:szCs w:val="22"/>
        </w:rPr>
      </w:pPr>
      <w:r>
        <w:rPr>
          <w:rFonts w:ascii="Helvetica" w:hAnsi="Helvetica"/>
          <w:sz w:val="22"/>
          <w:szCs w:val="22"/>
        </w:rPr>
        <w:t xml:space="preserve">Chronic Neurotoxicity Assessment with a Focus on Neurodegeneration </w:t>
      </w:r>
    </w:p>
    <w:p w14:paraId="2D235D4D" w14:textId="77777777" w:rsidR="00C64F68" w:rsidRDefault="00C64F68" w:rsidP="00C64F68">
      <w:pPr>
        <w:spacing w:after="120"/>
        <w:jc w:val="both"/>
        <w:rPr>
          <w:rFonts w:ascii="Helvetica" w:hAnsi="Helvetica"/>
          <w:sz w:val="22"/>
          <w:szCs w:val="22"/>
        </w:rPr>
      </w:pPr>
    </w:p>
    <w:p w14:paraId="2CA41068" w14:textId="77777777" w:rsidR="00966B8A" w:rsidRDefault="00966B8A">
      <w:pPr>
        <w:rPr>
          <w:rFonts w:ascii="Helvetica" w:hAnsi="Helvetica"/>
          <w:b/>
          <w:bCs/>
          <w:sz w:val="22"/>
          <w:szCs w:val="22"/>
        </w:rPr>
      </w:pPr>
      <w:r>
        <w:rPr>
          <w:rFonts w:ascii="Helvetica" w:hAnsi="Helvetica"/>
          <w:b/>
          <w:bCs/>
          <w:sz w:val="22"/>
          <w:szCs w:val="22"/>
        </w:rPr>
        <w:br w:type="page"/>
      </w:r>
    </w:p>
    <w:p w14:paraId="1FC1C9C7" w14:textId="392A73AA" w:rsidR="00260535" w:rsidRPr="00260535" w:rsidRDefault="00260535" w:rsidP="007904C7">
      <w:pPr>
        <w:spacing w:after="240"/>
        <w:jc w:val="both"/>
        <w:rPr>
          <w:rFonts w:ascii="Helvetica" w:hAnsi="Helvetica"/>
          <w:b/>
          <w:bCs/>
          <w:sz w:val="22"/>
          <w:szCs w:val="22"/>
        </w:rPr>
      </w:pPr>
      <w:r>
        <w:rPr>
          <w:rFonts w:ascii="Helvetica" w:hAnsi="Helvetica"/>
          <w:b/>
          <w:bCs/>
          <w:sz w:val="22"/>
          <w:szCs w:val="22"/>
        </w:rPr>
        <w:lastRenderedPageBreak/>
        <w:t>Topic 1: Female Reproductive Toxicity Assessment Using Advanced NAMs</w:t>
      </w:r>
    </w:p>
    <w:p w14:paraId="68668A2B" w14:textId="77777777" w:rsidR="00260535" w:rsidRPr="00260535" w:rsidRDefault="00260535" w:rsidP="00260535">
      <w:pPr>
        <w:spacing w:after="120"/>
        <w:jc w:val="both"/>
        <w:rPr>
          <w:rFonts w:ascii="Helvetica" w:hAnsi="Helvetica"/>
          <w:b/>
          <w:bCs/>
          <w:sz w:val="22"/>
          <w:szCs w:val="22"/>
        </w:rPr>
      </w:pPr>
      <w:r>
        <w:rPr>
          <w:rFonts w:ascii="Helvetica" w:hAnsi="Helvetica"/>
          <w:b/>
          <w:bCs/>
          <w:sz w:val="22"/>
          <w:szCs w:val="22"/>
        </w:rPr>
        <w:t>Objective</w:t>
      </w:r>
    </w:p>
    <w:p w14:paraId="76A8F995" w14:textId="7B30B1EB" w:rsidR="00530FAC"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Develop an integrated, animal-free and human-relevant testing framework for the assessment of female reproductive toxicity based on human-relevant biological pathways. The project may focus on any biological process required for successful female reproduction, ranging from female germ cell development to childbirth. Relevant target organs and processes may include ovarian function, folliculogenesis, oocyte maturation, fertilization, implantation, placental development and function, pregnancy maintenance, and parturition. As female reproduction is highly regulated by the endocrine system, pathways relevant to endocrine disruption should be included where appropriate. If test systems of other than human origin are used, their human relevance must be scientifically justified.</w:t>
      </w:r>
    </w:p>
    <w:p w14:paraId="7E9457D2" w14:textId="4A0F22DF" w:rsidR="00260535" w:rsidRPr="00724B01" w:rsidRDefault="00260535" w:rsidP="00966B8A">
      <w:pPr>
        <w:spacing w:before="120" w:after="120"/>
        <w:jc w:val="both"/>
        <w:rPr>
          <w:rFonts w:ascii="Helvetica" w:hAnsi="Helvetica"/>
          <w:b/>
          <w:bCs/>
          <w:sz w:val="22"/>
          <w:szCs w:val="22"/>
        </w:rPr>
      </w:pPr>
      <w:r>
        <w:rPr>
          <w:rFonts w:ascii="Helvetica" w:hAnsi="Helvetica"/>
          <w:b/>
          <w:bCs/>
          <w:sz w:val="22"/>
          <w:szCs w:val="22"/>
        </w:rPr>
        <w:t>Scope</w:t>
      </w:r>
    </w:p>
    <w:p w14:paraId="1BFA2195" w14:textId="6DE15EE5" w:rsidR="00260535"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The SCAHT seeks project proposals that will establish test methods for identifying and characterizing key events (KEs) relevant for female reproductive toxicity according to the adverse outcome pathway (AOP) concept. Proposals may focus on one or more key biological processes involved in reproductive dysfunction, including but not limited to impaired gametogenesis, disrupted endocrine signalling, altered implantation, placental dysfunction, adverse pregnancy outcomes, and developmental processes affecting reproductive success.</w:t>
      </w:r>
    </w:p>
    <w:p w14:paraId="65E70234" w14:textId="77777777" w:rsidR="00260535"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Where established AOPs are not available, applicants are encouraged to develop putative AOPs, optionally in collaboration with the SCAHT directorate. Human-relevant NAMs should preferentially be based on hiPSC-derived and/or primary human cell systems representing relevant reproductive and endocrine tissues.</w:t>
      </w:r>
    </w:p>
    <w:p w14:paraId="14755D13" w14:textId="64B6FC40" w:rsidR="00260535"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 xml:space="preserve">Advanced </w:t>
      </w:r>
      <w:r w:rsidRPr="008258D6">
        <w:rPr>
          <w:rFonts w:ascii="Helvetica" w:hAnsi="Helvetica"/>
          <w:bCs/>
          <w:i/>
          <w:iCs/>
          <w:sz w:val="22"/>
          <w:szCs w:val="22"/>
          <w:lang w:val="en-GB"/>
        </w:rPr>
        <w:t>in vitro</w:t>
      </w:r>
      <w:r>
        <w:rPr>
          <w:rFonts w:ascii="Helvetica" w:hAnsi="Helvetica"/>
          <w:bCs/>
          <w:sz w:val="22"/>
          <w:szCs w:val="22"/>
          <w:lang w:val="en-GB"/>
        </w:rPr>
        <w:t xml:space="preserve"> model results shall be integrated with kinetic modelling approaches to establish quantitative relationships between exposure and biological response. Particular emphasis should be placed on exposure scenarios relevant to female reproductive health, including sensitive windows of susceptibility where appropriate. Based on integrated biological pathways and/or chemical modes-of-action, predictive biomarker identification should facilitate regulatory uptake and implementation within NGRA frameworks.</w:t>
      </w:r>
    </w:p>
    <w:p w14:paraId="75806423" w14:textId="77777777" w:rsidR="00260535" w:rsidRPr="00724B01" w:rsidRDefault="00260535" w:rsidP="00E83DD0">
      <w:pPr>
        <w:spacing w:before="120" w:after="120"/>
        <w:jc w:val="both"/>
        <w:rPr>
          <w:rFonts w:ascii="Helvetica" w:hAnsi="Helvetica"/>
          <w:b/>
          <w:bCs/>
          <w:sz w:val="22"/>
          <w:szCs w:val="22"/>
        </w:rPr>
      </w:pPr>
      <w:r>
        <w:rPr>
          <w:rFonts w:ascii="Helvetica" w:hAnsi="Helvetica"/>
          <w:b/>
          <w:bCs/>
          <w:sz w:val="22"/>
          <w:szCs w:val="22"/>
        </w:rPr>
        <w:t>Key Deliverables</w:t>
      </w:r>
    </w:p>
    <w:p w14:paraId="598E826F" w14:textId="089F1FE1"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Human-relevant NAM(s) covering critical pathways involved in female reproductive toxicity.</w:t>
      </w:r>
    </w:p>
    <w:p w14:paraId="4B2EAF92" w14:textId="18E615BD"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Development of predictive biomarkers for screening, prioritization, and mechanistic characterization of chemicals.</w:t>
      </w:r>
    </w:p>
    <w:p w14:paraId="7985A88F" w14:textId="11E75B38" w:rsidR="00403F39" w:rsidRPr="00403F39" w:rsidRDefault="00403F39" w:rsidP="00403F39">
      <w:pPr>
        <w:numPr>
          <w:ilvl w:val="0"/>
          <w:numId w:val="10"/>
        </w:numPr>
        <w:spacing w:after="40"/>
        <w:jc w:val="both"/>
        <w:rPr>
          <w:rFonts w:ascii="Helvetica" w:hAnsi="Helvetica"/>
          <w:sz w:val="22"/>
          <w:szCs w:val="22"/>
          <w:lang w:val="fr-CH"/>
        </w:rPr>
      </w:pPr>
      <w:r w:rsidRPr="00403F39">
        <w:rPr>
          <w:rFonts w:ascii="Helvetica" w:hAnsi="Helvetica"/>
          <w:sz w:val="22"/>
          <w:szCs w:val="22"/>
        </w:rPr>
        <w:t>Establish</w:t>
      </w:r>
      <w:r>
        <w:rPr>
          <w:rFonts w:ascii="Helvetica" w:hAnsi="Helvetica"/>
          <w:sz w:val="22"/>
          <w:szCs w:val="22"/>
        </w:rPr>
        <w:t>ment of</w:t>
      </w:r>
      <w:r w:rsidRPr="00403F39">
        <w:rPr>
          <w:rFonts w:ascii="Helvetica" w:hAnsi="Helvetica"/>
          <w:sz w:val="22"/>
          <w:szCs w:val="22"/>
        </w:rPr>
        <w:t xml:space="preserve"> concentration</w:t>
      </w:r>
      <w:r w:rsidR="007E74CB">
        <w:rPr>
          <w:rFonts w:ascii="Helvetica" w:hAnsi="Helvetica"/>
          <w:sz w:val="22"/>
          <w:szCs w:val="22"/>
        </w:rPr>
        <w:t>-</w:t>
      </w:r>
      <w:r w:rsidRPr="00403F39">
        <w:rPr>
          <w:rFonts w:ascii="Helvetica" w:hAnsi="Helvetica"/>
          <w:sz w:val="22"/>
          <w:szCs w:val="22"/>
        </w:rPr>
        <w:t>response relationships</w:t>
      </w:r>
      <w:r w:rsidR="006C70F3">
        <w:rPr>
          <w:rFonts w:ascii="Helvetica" w:hAnsi="Helvetica"/>
          <w:sz w:val="22"/>
          <w:szCs w:val="22"/>
        </w:rPr>
        <w:t>.</w:t>
      </w:r>
    </w:p>
    <w:p w14:paraId="5912464F" w14:textId="3B09AC27"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Integration of in vitro-to-human kinetics (</w:t>
      </w:r>
      <w:r w:rsidR="00403F39">
        <w:rPr>
          <w:rFonts w:ascii="Helvetica" w:hAnsi="Helvetica"/>
          <w:sz w:val="22"/>
          <w:szCs w:val="22"/>
          <w:lang w:val="en-GB"/>
        </w:rPr>
        <w:t>PBPK required, IVIVE encouraged</w:t>
      </w:r>
      <w:r>
        <w:rPr>
          <w:rFonts w:ascii="Helvetica" w:hAnsi="Helvetica"/>
          <w:sz w:val="22"/>
          <w:szCs w:val="22"/>
          <w:lang w:val="en-GB"/>
        </w:rPr>
        <w:t>).</w:t>
      </w:r>
    </w:p>
    <w:p w14:paraId="2D202F79" w14:textId="42B50748"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Evaluation of reference chemicals and real-world case studies suitable for NGRA applications.</w:t>
      </w:r>
    </w:p>
    <w:p w14:paraId="4FB7E484" w14:textId="5ABD5EE8"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Generation of regulatory-relevant data supporting animal-free safety assessment of chemicals affecting female reproductive health.</w:t>
      </w:r>
    </w:p>
    <w:p w14:paraId="5CC6721F" w14:textId="73A322FF" w:rsidR="00260535" w:rsidRPr="00724B01" w:rsidRDefault="007E74CB" w:rsidP="00E83DD0">
      <w:pPr>
        <w:spacing w:before="120" w:after="120"/>
        <w:jc w:val="both"/>
        <w:rPr>
          <w:rFonts w:ascii="Helvetica" w:hAnsi="Helvetica"/>
          <w:b/>
          <w:bCs/>
          <w:sz w:val="22"/>
          <w:szCs w:val="22"/>
        </w:rPr>
      </w:pPr>
      <w:r>
        <w:rPr>
          <w:rFonts w:ascii="Helvetica" w:hAnsi="Helvetica"/>
          <w:b/>
          <w:bCs/>
          <w:sz w:val="22"/>
          <w:szCs w:val="22"/>
        </w:rPr>
        <w:t>Competences</w:t>
      </w:r>
    </w:p>
    <w:p w14:paraId="1FA9FC5F" w14:textId="1BA88609" w:rsidR="00260535"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A multidisciplinary consortium integrating e.g. reproductive biology, endocrinology, stem cell technologies, toxicology, systems biology, computational modelling, biomarker discovery, exposure science, and regulatory science.</w:t>
      </w:r>
    </w:p>
    <w:p w14:paraId="7C5F851B" w14:textId="77777777" w:rsidR="00E6106A" w:rsidRDefault="00E6106A" w:rsidP="00260535">
      <w:pPr>
        <w:spacing w:after="120"/>
        <w:jc w:val="both"/>
        <w:rPr>
          <w:rFonts w:ascii="Helvetica" w:hAnsi="Helvetica"/>
          <w:b/>
          <w:bCs/>
          <w:sz w:val="22"/>
          <w:szCs w:val="22"/>
        </w:rPr>
      </w:pPr>
    </w:p>
    <w:p w14:paraId="12089C2E" w14:textId="77777777" w:rsidR="00530FAC" w:rsidRDefault="00530FAC" w:rsidP="00260535">
      <w:pPr>
        <w:spacing w:after="120"/>
        <w:jc w:val="both"/>
        <w:rPr>
          <w:rFonts w:ascii="Helvetica" w:hAnsi="Helvetica"/>
          <w:b/>
          <w:bCs/>
          <w:sz w:val="22"/>
          <w:szCs w:val="22"/>
        </w:rPr>
      </w:pPr>
    </w:p>
    <w:p w14:paraId="53A202F3" w14:textId="335D562D" w:rsidR="00260535" w:rsidRPr="003C0335" w:rsidRDefault="00260535" w:rsidP="00203465">
      <w:pPr>
        <w:spacing w:after="240"/>
        <w:jc w:val="both"/>
        <w:rPr>
          <w:rFonts w:ascii="Helvetica" w:hAnsi="Helvetica"/>
          <w:b/>
          <w:bCs/>
          <w:sz w:val="22"/>
          <w:szCs w:val="22"/>
        </w:rPr>
      </w:pPr>
      <w:r>
        <w:rPr>
          <w:rFonts w:ascii="Helvetica" w:hAnsi="Helvetica"/>
          <w:b/>
          <w:bCs/>
          <w:sz w:val="22"/>
          <w:szCs w:val="22"/>
        </w:rPr>
        <w:lastRenderedPageBreak/>
        <w:t>Topic 2: Chronic Neurotoxicity Assessment with a Focus on Neurodegeneration Using Advanced NAMs</w:t>
      </w:r>
    </w:p>
    <w:p w14:paraId="09581712" w14:textId="77777777" w:rsidR="00260535" w:rsidRPr="00724B01" w:rsidRDefault="00260535" w:rsidP="00260535">
      <w:pPr>
        <w:spacing w:after="120"/>
        <w:jc w:val="both"/>
        <w:rPr>
          <w:rFonts w:ascii="Helvetica" w:hAnsi="Helvetica"/>
          <w:b/>
          <w:bCs/>
          <w:sz w:val="22"/>
          <w:szCs w:val="22"/>
        </w:rPr>
      </w:pPr>
      <w:r>
        <w:rPr>
          <w:rFonts w:ascii="Helvetica" w:hAnsi="Helvetica"/>
          <w:b/>
          <w:bCs/>
          <w:sz w:val="22"/>
          <w:szCs w:val="22"/>
        </w:rPr>
        <w:t>Objective</w:t>
      </w:r>
    </w:p>
    <w:p w14:paraId="4280F605" w14:textId="5073861B" w:rsidR="00260535"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Develop an integrated, animal-free and human-relevant testing framework for the assessment of chronic neurotoxicity and neurodegeneration based on human-relevant biological pathways. The project may focus on any process contributing to the maintenance or dysfunction of the nervous system across the lifespan, including neuronal and glial function, neuroinflammation, synaptic integrity, neuronal network activity, protein homeostasis, blood-brain barrier function, and processes associated with age-related neurodegenerative diseases. The link of the proposed work to neurodegeneration has to be laid out. If test systems of other than human origin are used, their human relevance must be scientifically justified.</w:t>
      </w:r>
    </w:p>
    <w:p w14:paraId="686AF5B5" w14:textId="77777777" w:rsidR="00260535" w:rsidRPr="00724B01" w:rsidRDefault="00260535" w:rsidP="00E83DD0">
      <w:pPr>
        <w:spacing w:before="120" w:after="120"/>
        <w:jc w:val="both"/>
        <w:rPr>
          <w:rFonts w:ascii="Helvetica" w:hAnsi="Helvetica"/>
          <w:b/>
          <w:bCs/>
          <w:sz w:val="22"/>
          <w:szCs w:val="22"/>
        </w:rPr>
      </w:pPr>
      <w:r>
        <w:rPr>
          <w:rFonts w:ascii="Helvetica" w:hAnsi="Helvetica"/>
          <w:b/>
          <w:bCs/>
          <w:sz w:val="22"/>
          <w:szCs w:val="22"/>
        </w:rPr>
        <w:t>Scope</w:t>
      </w:r>
    </w:p>
    <w:p w14:paraId="6A60FD10" w14:textId="0B55E8D0" w:rsidR="00260535"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The SCAHT seeks project proposals that will establish test methods for identifying and characterizing KEs relevant for chronic neurotoxicity and neurodegeneration according to the AOP concept. Proposals may focus on one or more key biological processes associated with neurodegenerative disorders, including but not limited to neuroinflammation, mitochondrial dysfunction, impaired proteostasis, oxidative stress, synaptic dysfunction, axonal degeneration, and blood-brain barrier impairment.</w:t>
      </w:r>
    </w:p>
    <w:p w14:paraId="1B772C9D" w14:textId="0F322387" w:rsidR="00260535"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 xml:space="preserve">Where established AOPs are not available, applicants are encouraged to develop putative AOPs, optionally in collaboration with the SCAHT directorate. Human-relevant NAMs should preferentially be based on hiPSC-derived neuronal, glial, blood-brain barrier, or brain organoid models. Advanced </w:t>
      </w:r>
      <w:r w:rsidRPr="00417B8F">
        <w:rPr>
          <w:rFonts w:ascii="Helvetica" w:hAnsi="Helvetica"/>
          <w:bCs/>
          <w:i/>
          <w:iCs/>
          <w:sz w:val="22"/>
          <w:szCs w:val="22"/>
          <w:lang w:val="en-GB"/>
        </w:rPr>
        <w:t>in vitro</w:t>
      </w:r>
      <w:r>
        <w:rPr>
          <w:rFonts w:ascii="Helvetica" w:hAnsi="Helvetica"/>
          <w:bCs/>
          <w:sz w:val="22"/>
          <w:szCs w:val="22"/>
          <w:lang w:val="en-GB"/>
        </w:rPr>
        <w:t xml:space="preserve"> model results shall be integrated with kinetic modelling approaches to establish quantitative relationships between exposure, target tissue dosimetry, and biological response. Particular emphasis should be placed on repeated and long-term exposure scenarios relevant to chronic toxicity and neurodegenerative disease processes. Based on integrated biological pathways and/or chemical modes-of-action, predictive biomarker identification should facilitate regulatory uptake and implementation within NGRA frameworks.</w:t>
      </w:r>
    </w:p>
    <w:p w14:paraId="45F73743" w14:textId="77777777" w:rsidR="00260535" w:rsidRPr="00724B01" w:rsidRDefault="00260535" w:rsidP="00E83DD0">
      <w:pPr>
        <w:spacing w:before="120" w:after="120"/>
        <w:jc w:val="both"/>
        <w:rPr>
          <w:rFonts w:ascii="Helvetica" w:hAnsi="Helvetica"/>
          <w:b/>
          <w:bCs/>
          <w:sz w:val="22"/>
          <w:szCs w:val="22"/>
        </w:rPr>
      </w:pPr>
      <w:r>
        <w:rPr>
          <w:rFonts w:ascii="Helvetica" w:hAnsi="Helvetica"/>
          <w:b/>
          <w:bCs/>
          <w:sz w:val="22"/>
          <w:szCs w:val="22"/>
        </w:rPr>
        <w:t>Key Deliverables</w:t>
      </w:r>
    </w:p>
    <w:p w14:paraId="380FCFF8" w14:textId="2C525F37"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Human-relevant NAM(s) covering critical pathways involved in chronic neurotoxicity and neurodegeneration.</w:t>
      </w:r>
    </w:p>
    <w:p w14:paraId="51AA33A3" w14:textId="584E23D6"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Development of predictive biomarkers for screening, prioritization, and mechanistic characterization of chemicals.</w:t>
      </w:r>
    </w:p>
    <w:p w14:paraId="3D752289" w14:textId="54827E8E" w:rsidR="00403F39" w:rsidRPr="00403F39" w:rsidRDefault="00403F39" w:rsidP="00403F39">
      <w:pPr>
        <w:numPr>
          <w:ilvl w:val="0"/>
          <w:numId w:val="10"/>
        </w:numPr>
        <w:spacing w:after="40"/>
        <w:jc w:val="both"/>
        <w:rPr>
          <w:rFonts w:ascii="Helvetica" w:hAnsi="Helvetica"/>
          <w:sz w:val="22"/>
          <w:szCs w:val="22"/>
          <w:lang w:val="fr-CH"/>
        </w:rPr>
      </w:pPr>
      <w:r w:rsidRPr="00403F39">
        <w:rPr>
          <w:rFonts w:ascii="Helvetica" w:hAnsi="Helvetica"/>
          <w:sz w:val="22"/>
          <w:szCs w:val="22"/>
        </w:rPr>
        <w:t>Establishment of concentration</w:t>
      </w:r>
      <w:r w:rsidR="007E74CB">
        <w:rPr>
          <w:rFonts w:ascii="Helvetica" w:hAnsi="Helvetica"/>
          <w:sz w:val="22"/>
          <w:szCs w:val="22"/>
        </w:rPr>
        <w:t>-</w:t>
      </w:r>
      <w:r w:rsidRPr="00403F39">
        <w:rPr>
          <w:rFonts w:ascii="Helvetica" w:hAnsi="Helvetica"/>
          <w:sz w:val="22"/>
          <w:szCs w:val="22"/>
        </w:rPr>
        <w:t>response relationships</w:t>
      </w:r>
      <w:r w:rsidR="006A5E8C">
        <w:rPr>
          <w:rFonts w:ascii="Helvetica" w:hAnsi="Helvetica"/>
          <w:sz w:val="22"/>
          <w:szCs w:val="22"/>
        </w:rPr>
        <w:t>.</w:t>
      </w:r>
    </w:p>
    <w:p w14:paraId="098BC631" w14:textId="44A50FA4" w:rsidR="00260535" w:rsidRPr="00403F39" w:rsidRDefault="00403F39" w:rsidP="00403F39">
      <w:pPr>
        <w:numPr>
          <w:ilvl w:val="0"/>
          <w:numId w:val="10"/>
        </w:numPr>
        <w:spacing w:after="40"/>
        <w:jc w:val="both"/>
        <w:rPr>
          <w:rFonts w:ascii="Helvetica" w:hAnsi="Helvetica"/>
          <w:sz w:val="22"/>
          <w:szCs w:val="22"/>
          <w:lang w:val="en-GB"/>
        </w:rPr>
      </w:pPr>
      <w:r w:rsidRPr="00403F39">
        <w:rPr>
          <w:rFonts w:ascii="Helvetica" w:hAnsi="Helvetica"/>
          <w:sz w:val="22"/>
          <w:szCs w:val="22"/>
        </w:rPr>
        <w:t xml:space="preserve">Integration of </w:t>
      </w:r>
      <w:r w:rsidR="00260535" w:rsidRPr="00403F39">
        <w:rPr>
          <w:rFonts w:ascii="Helvetica" w:hAnsi="Helvetica"/>
          <w:sz w:val="22"/>
          <w:szCs w:val="22"/>
          <w:lang w:val="en-GB"/>
        </w:rPr>
        <w:t>in vitro-to-human kinetics (PBK modelling</w:t>
      </w:r>
      <w:r w:rsidRPr="00403F39">
        <w:rPr>
          <w:rFonts w:ascii="Helvetica" w:hAnsi="Helvetica"/>
          <w:sz w:val="22"/>
          <w:szCs w:val="22"/>
          <w:lang w:val="en-GB"/>
        </w:rPr>
        <w:t xml:space="preserve"> required, IVIVE encouraged</w:t>
      </w:r>
      <w:r w:rsidR="00260535" w:rsidRPr="00403F39">
        <w:rPr>
          <w:rFonts w:ascii="Helvetica" w:hAnsi="Helvetica"/>
          <w:sz w:val="22"/>
          <w:szCs w:val="22"/>
          <w:lang w:val="en-GB"/>
        </w:rPr>
        <w:t>), including considerations of blood-brain barrier transport and brain exposure where relevant.</w:t>
      </w:r>
    </w:p>
    <w:p w14:paraId="523EEE56" w14:textId="4766C820"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Evaluation of reference chemicals and real-world case studies suitable for NGRA applications.</w:t>
      </w:r>
    </w:p>
    <w:p w14:paraId="62204C95" w14:textId="0ED676E0" w:rsidR="00260535" w:rsidRPr="00945A2F" w:rsidRDefault="00260535" w:rsidP="00A61EDA">
      <w:pPr>
        <w:numPr>
          <w:ilvl w:val="0"/>
          <w:numId w:val="10"/>
        </w:numPr>
        <w:spacing w:after="40"/>
        <w:ind w:left="714" w:hanging="357"/>
        <w:jc w:val="both"/>
        <w:rPr>
          <w:rFonts w:ascii="Helvetica" w:hAnsi="Helvetica"/>
          <w:sz w:val="22"/>
          <w:szCs w:val="22"/>
          <w:lang w:val="en-GB"/>
        </w:rPr>
      </w:pPr>
      <w:r>
        <w:rPr>
          <w:rFonts w:ascii="Helvetica" w:hAnsi="Helvetica"/>
          <w:sz w:val="22"/>
          <w:szCs w:val="22"/>
          <w:lang w:val="en-GB"/>
        </w:rPr>
        <w:t>Generation of regulatory-relevant data supporting animal-free safety assessment of chemicals affecting the nervous system.</w:t>
      </w:r>
    </w:p>
    <w:p w14:paraId="0C26D463" w14:textId="2D3DF969" w:rsidR="00260535" w:rsidRPr="009C70A5" w:rsidRDefault="007E74CB" w:rsidP="00E83DD0">
      <w:pPr>
        <w:spacing w:before="120" w:after="120"/>
        <w:jc w:val="both"/>
        <w:rPr>
          <w:rFonts w:ascii="Helvetica" w:hAnsi="Helvetica"/>
          <w:b/>
          <w:bCs/>
          <w:sz w:val="22"/>
          <w:szCs w:val="22"/>
        </w:rPr>
      </w:pPr>
      <w:r>
        <w:rPr>
          <w:rFonts w:ascii="Helvetica" w:hAnsi="Helvetica"/>
          <w:b/>
          <w:bCs/>
          <w:sz w:val="22"/>
          <w:szCs w:val="22"/>
        </w:rPr>
        <w:t>Competences</w:t>
      </w:r>
    </w:p>
    <w:p w14:paraId="67FE2DE5" w14:textId="22DA6F59" w:rsidR="00530FAC" w:rsidRPr="00E83DD0" w:rsidRDefault="00260535" w:rsidP="00E83DD0">
      <w:pPr>
        <w:jc w:val="both"/>
        <w:outlineLvl w:val="0"/>
        <w:rPr>
          <w:rFonts w:ascii="Helvetica" w:hAnsi="Helvetica"/>
          <w:bCs/>
          <w:sz w:val="22"/>
          <w:szCs w:val="22"/>
          <w:lang w:val="en-GB"/>
        </w:rPr>
      </w:pPr>
      <w:r>
        <w:rPr>
          <w:rFonts w:ascii="Helvetica" w:hAnsi="Helvetica"/>
          <w:bCs/>
          <w:sz w:val="22"/>
          <w:szCs w:val="22"/>
          <w:lang w:val="en-GB"/>
        </w:rPr>
        <w:t xml:space="preserve">A multidisciplinary consortium integrating e.g. </w:t>
      </w:r>
      <w:r>
        <w:rPr>
          <w:rFonts w:ascii="Helvetica" w:hAnsi="Helvetica"/>
          <w:bCs/>
          <w:sz w:val="22"/>
          <w:szCs w:val="22"/>
        </w:rPr>
        <w:t>neurobiology,</w:t>
      </w:r>
      <w:r>
        <w:rPr>
          <w:rFonts w:ascii="Helvetica" w:hAnsi="Helvetica"/>
          <w:bCs/>
          <w:sz w:val="22"/>
          <w:szCs w:val="22"/>
          <w:lang w:val="en-GB"/>
        </w:rPr>
        <w:t xml:space="preserve"> stem cell technologies, toxicology, systems biology, bioinformatics, computational modelling, biomarker discovery, exposure science, and regulatory science.</w:t>
      </w:r>
    </w:p>
    <w:p w14:paraId="5F0569F1" w14:textId="77777777" w:rsidR="003C0335" w:rsidRDefault="003C0335" w:rsidP="00966B8A">
      <w:pPr>
        <w:jc w:val="both"/>
        <w:outlineLvl w:val="0"/>
        <w:rPr>
          <w:rFonts w:ascii="Helvetica" w:hAnsi="Helvetica"/>
          <w:sz w:val="22"/>
          <w:szCs w:val="22"/>
        </w:rPr>
      </w:pPr>
    </w:p>
    <w:p w14:paraId="1F2E3015" w14:textId="43E14C71" w:rsidR="00F27E5D" w:rsidRPr="00966B8A" w:rsidRDefault="001E3017" w:rsidP="00DE1686">
      <w:pPr>
        <w:pStyle w:val="Paragraphedeliste"/>
        <w:numPr>
          <w:ilvl w:val="0"/>
          <w:numId w:val="18"/>
        </w:numPr>
        <w:spacing w:before="240" w:after="120"/>
        <w:jc w:val="both"/>
        <w:outlineLvl w:val="0"/>
        <w:rPr>
          <w:rFonts w:ascii="Helvetica" w:hAnsi="Helvetica"/>
          <w:b/>
          <w:iCs/>
          <w:color w:val="C00000"/>
          <w:sz w:val="28"/>
          <w:szCs w:val="28"/>
        </w:rPr>
      </w:pPr>
      <w:r>
        <w:rPr>
          <w:rFonts w:ascii="Helvetica" w:hAnsi="Helvetica"/>
          <w:b/>
          <w:iCs/>
          <w:color w:val="C00000"/>
          <w:sz w:val="28"/>
          <w:szCs w:val="28"/>
        </w:rPr>
        <w:lastRenderedPageBreak/>
        <w:t>Criteria to take into consideration for developing projects</w:t>
      </w:r>
    </w:p>
    <w:p w14:paraId="49F7680D" w14:textId="6D88BC8B" w:rsidR="00720A88" w:rsidRPr="00E83DD0" w:rsidRDefault="00720A88" w:rsidP="00E83DD0">
      <w:pPr>
        <w:jc w:val="both"/>
        <w:outlineLvl w:val="0"/>
        <w:rPr>
          <w:rFonts w:ascii="Helvetica" w:hAnsi="Helvetica"/>
          <w:bCs/>
          <w:sz w:val="22"/>
          <w:szCs w:val="22"/>
          <w:lang w:val="en-GB"/>
        </w:rPr>
      </w:pPr>
      <w:r>
        <w:rPr>
          <w:rFonts w:ascii="Helvetica" w:hAnsi="Helvetica"/>
          <w:bCs/>
          <w:sz w:val="22"/>
          <w:szCs w:val="22"/>
          <w:lang w:val="en-GB"/>
        </w:rPr>
        <w:t>The following aspects are related to the desired outcome of the SCAHT research program and will be taken into account in the evaluation process:</w:t>
      </w:r>
    </w:p>
    <w:p w14:paraId="73FD5E56" w14:textId="7AEC943E" w:rsidR="00570A98" w:rsidRPr="00A822D1" w:rsidRDefault="00570A98" w:rsidP="00A822D1">
      <w:pPr>
        <w:pStyle w:val="Paragraphedeliste"/>
        <w:numPr>
          <w:ilvl w:val="0"/>
          <w:numId w:val="24"/>
        </w:numPr>
        <w:spacing w:before="80" w:after="80"/>
        <w:jc w:val="both"/>
        <w:rPr>
          <w:rFonts w:ascii="Helvetica" w:hAnsi="Helvetica"/>
          <w:sz w:val="22"/>
          <w:szCs w:val="22"/>
        </w:rPr>
      </w:pPr>
      <w:r>
        <w:rPr>
          <w:rFonts w:ascii="Helvetica" w:hAnsi="Helvetica"/>
          <w:sz w:val="22"/>
          <w:szCs w:val="22"/>
        </w:rPr>
        <w:t>An indicative annual budget of CHF 650,000–800,000 in federal funding, for a duration of 4 years per project.</w:t>
      </w:r>
    </w:p>
    <w:p w14:paraId="31ACF967" w14:textId="77777777" w:rsidR="002E3345" w:rsidRDefault="002E3345" w:rsidP="00A822D1">
      <w:pPr>
        <w:pStyle w:val="Paragraphedeliste"/>
        <w:numPr>
          <w:ilvl w:val="0"/>
          <w:numId w:val="24"/>
        </w:numPr>
        <w:spacing w:before="80" w:after="80"/>
        <w:jc w:val="both"/>
        <w:rPr>
          <w:rFonts w:ascii="Helvetica" w:hAnsi="Helvetica"/>
          <w:sz w:val="22"/>
          <w:szCs w:val="22"/>
        </w:rPr>
      </w:pPr>
      <w:r w:rsidRPr="002E3345">
        <w:rPr>
          <w:rFonts w:ascii="Helvetica" w:hAnsi="Helvetica"/>
          <w:sz w:val="22"/>
          <w:szCs w:val="22"/>
        </w:rPr>
        <w:t>The project lead must be employed by one of the current SCAHT member higher education institutions, i.e., the University of Basel, the University of Geneva, the University of Lausanne, or the FHNW School of Life Sciences, for at least the duration of the funding period.</w:t>
      </w:r>
    </w:p>
    <w:p w14:paraId="4AC7C7BB" w14:textId="6C7077B3" w:rsidR="003554F0" w:rsidRPr="00A822D1" w:rsidRDefault="003554F0" w:rsidP="00A822D1">
      <w:pPr>
        <w:pStyle w:val="Paragraphedeliste"/>
        <w:numPr>
          <w:ilvl w:val="0"/>
          <w:numId w:val="24"/>
        </w:numPr>
        <w:spacing w:before="80" w:after="80"/>
        <w:jc w:val="both"/>
        <w:rPr>
          <w:rFonts w:ascii="Helvetica" w:hAnsi="Helvetica"/>
          <w:sz w:val="22"/>
          <w:szCs w:val="22"/>
        </w:rPr>
      </w:pPr>
      <w:r>
        <w:rPr>
          <w:rFonts w:ascii="Helvetica" w:hAnsi="Helvetica"/>
          <w:sz w:val="22"/>
          <w:szCs w:val="22"/>
        </w:rPr>
        <w:t>Successful projects are expected to be co-funded through in-kind contributions</w:t>
      </w:r>
      <w:r>
        <w:rPr>
          <w:rStyle w:val="Appelnotedebasdep"/>
          <w:rFonts w:ascii="Helvetica" w:hAnsi="Helvetica"/>
          <w:sz w:val="22"/>
          <w:szCs w:val="22"/>
        </w:rPr>
        <w:footnoteReference w:id="2"/>
      </w:r>
      <w:r>
        <w:rPr>
          <w:rFonts w:ascii="Helvetica" w:hAnsi="Helvetica"/>
          <w:sz w:val="22"/>
          <w:szCs w:val="22"/>
        </w:rPr>
        <w:t>.</w:t>
      </w:r>
    </w:p>
    <w:p w14:paraId="335F9892" w14:textId="610017F1" w:rsidR="00EB344C" w:rsidRPr="00A822D1" w:rsidRDefault="00EB344C" w:rsidP="00A822D1">
      <w:pPr>
        <w:pStyle w:val="Paragraphedeliste"/>
        <w:numPr>
          <w:ilvl w:val="0"/>
          <w:numId w:val="24"/>
        </w:numPr>
        <w:spacing w:before="80" w:after="80"/>
        <w:jc w:val="both"/>
        <w:rPr>
          <w:rFonts w:ascii="Helvetica" w:hAnsi="Helvetica"/>
          <w:sz w:val="22"/>
          <w:szCs w:val="22"/>
        </w:rPr>
      </w:pPr>
      <w:r>
        <w:rPr>
          <w:rFonts w:ascii="Helvetica" w:hAnsi="Helvetica"/>
          <w:sz w:val="22"/>
          <w:szCs w:val="22"/>
        </w:rPr>
        <w:t>Proposals should be built on the principles of scientific excellence and demonstrate a recognizable contribution by SCAHT researchers to human applied toxicology and to continued building of expertise in specific domains.</w:t>
      </w:r>
    </w:p>
    <w:p w14:paraId="5D619A48" w14:textId="2F7E1B53" w:rsidR="00720A88" w:rsidRPr="00A822D1" w:rsidRDefault="00D81530" w:rsidP="00A822D1">
      <w:pPr>
        <w:pStyle w:val="Paragraphedeliste"/>
        <w:numPr>
          <w:ilvl w:val="0"/>
          <w:numId w:val="24"/>
        </w:numPr>
        <w:spacing w:before="80" w:after="80"/>
        <w:jc w:val="both"/>
        <w:rPr>
          <w:rFonts w:ascii="Helvetica" w:hAnsi="Helvetica"/>
          <w:sz w:val="22"/>
          <w:szCs w:val="22"/>
        </w:rPr>
      </w:pPr>
      <w:r>
        <w:rPr>
          <w:rFonts w:ascii="Helvetica" w:hAnsi="Helvetica"/>
          <w:sz w:val="22"/>
          <w:szCs w:val="22"/>
        </w:rPr>
        <w:t xml:space="preserve">The desired output of a research project should guide which methods and resources are needed, not vice versa. </w:t>
      </w:r>
    </w:p>
    <w:p w14:paraId="0468928D" w14:textId="5BA3577C" w:rsidR="00EB344C" w:rsidRPr="00A822D1" w:rsidRDefault="00EB344C" w:rsidP="00A822D1">
      <w:pPr>
        <w:pStyle w:val="Paragraphedeliste"/>
        <w:numPr>
          <w:ilvl w:val="0"/>
          <w:numId w:val="24"/>
        </w:numPr>
        <w:spacing w:before="80" w:after="80"/>
        <w:jc w:val="both"/>
        <w:rPr>
          <w:rFonts w:ascii="Helvetica" w:hAnsi="Helvetica"/>
          <w:sz w:val="22"/>
          <w:szCs w:val="22"/>
        </w:rPr>
      </w:pPr>
      <w:r>
        <w:rPr>
          <w:rFonts w:ascii="Helvetica" w:hAnsi="Helvetica"/>
          <w:sz w:val="22"/>
          <w:szCs w:val="22"/>
        </w:rPr>
        <w:t>Promoting a strong and tight-knit research network across the SCAHT is seen as essential for achieving success. Synergies of SCAHT research groups with research groups in their fields at an international level are viewed as beneficial (however, international groups cannot receive SCAHT funding).</w:t>
      </w:r>
    </w:p>
    <w:p w14:paraId="3ACAEF42" w14:textId="191B36AC" w:rsidR="00D81530" w:rsidRPr="00A822D1" w:rsidRDefault="00720A88" w:rsidP="00A822D1">
      <w:pPr>
        <w:pStyle w:val="Paragraphedeliste"/>
        <w:numPr>
          <w:ilvl w:val="0"/>
          <w:numId w:val="24"/>
        </w:numPr>
        <w:spacing w:before="80" w:after="80"/>
        <w:jc w:val="both"/>
        <w:rPr>
          <w:rFonts w:ascii="Helvetica" w:hAnsi="Helvetica"/>
          <w:sz w:val="22"/>
          <w:szCs w:val="22"/>
        </w:rPr>
      </w:pPr>
      <w:r>
        <w:rPr>
          <w:rFonts w:ascii="Helvetica" w:hAnsi="Helvetica"/>
          <w:sz w:val="22"/>
          <w:szCs w:val="22"/>
        </w:rPr>
        <w:t xml:space="preserve">Significant contributions to the SCAHT include involvement in and impact on international efforts (regulatory science activities such as expert committees, revision of test guidelines, AOP development, </w:t>
      </w:r>
      <w:r w:rsidR="007E74CB">
        <w:rPr>
          <w:rFonts w:ascii="Helvetica" w:hAnsi="Helvetica"/>
          <w:sz w:val="22"/>
          <w:szCs w:val="22"/>
        </w:rPr>
        <w:t xml:space="preserve">further funding acquisition, </w:t>
      </w:r>
      <w:r>
        <w:rPr>
          <w:rFonts w:ascii="Helvetica" w:hAnsi="Helvetica"/>
          <w:sz w:val="22"/>
          <w:szCs w:val="22"/>
        </w:rPr>
        <w:t>etc.), as well as in the active contribution to toxicology training and education in Switzerland.</w:t>
      </w:r>
    </w:p>
    <w:p w14:paraId="245C0303" w14:textId="0A1DBFD9" w:rsidR="00FF1427" w:rsidRDefault="00EF33B0" w:rsidP="00966B8A">
      <w:pPr>
        <w:pStyle w:val="Paragraphedeliste"/>
        <w:numPr>
          <w:ilvl w:val="0"/>
          <w:numId w:val="24"/>
        </w:numPr>
        <w:spacing w:before="80" w:after="80"/>
        <w:jc w:val="both"/>
        <w:rPr>
          <w:rFonts w:ascii="Helvetica" w:hAnsi="Helvetica"/>
          <w:sz w:val="22"/>
          <w:szCs w:val="22"/>
        </w:rPr>
      </w:pPr>
      <w:r>
        <w:rPr>
          <w:rFonts w:ascii="Helvetica" w:hAnsi="Helvetica"/>
          <w:sz w:val="22"/>
          <w:szCs w:val="22"/>
        </w:rPr>
        <w:t>Studies including inter-individual variability, sex-specific responses to physiological and/or toxicological stimuli, or epigenetic aspects are encouraged.</w:t>
      </w:r>
    </w:p>
    <w:p w14:paraId="7F7D9B3B" w14:textId="77777777" w:rsidR="003E664E" w:rsidRPr="003E664E" w:rsidRDefault="003E664E" w:rsidP="003E664E">
      <w:pPr>
        <w:pStyle w:val="Paragraphedeliste"/>
        <w:spacing w:before="80" w:after="80"/>
        <w:ind w:left="1080"/>
        <w:jc w:val="both"/>
        <w:rPr>
          <w:rFonts w:ascii="Helvetica" w:hAnsi="Helvetica"/>
          <w:sz w:val="22"/>
          <w:szCs w:val="22"/>
        </w:rPr>
      </w:pPr>
    </w:p>
    <w:p w14:paraId="5DCE46D3" w14:textId="316D4558" w:rsidR="00FD268D" w:rsidRPr="001F367C" w:rsidRDefault="00880C87" w:rsidP="00966B8A">
      <w:pPr>
        <w:pStyle w:val="Paragraphedeliste"/>
        <w:numPr>
          <w:ilvl w:val="0"/>
          <w:numId w:val="18"/>
        </w:numPr>
        <w:spacing w:before="240" w:after="120"/>
        <w:jc w:val="both"/>
        <w:outlineLvl w:val="0"/>
        <w:rPr>
          <w:rFonts w:ascii="Helvetica" w:hAnsi="Helvetica"/>
          <w:b/>
          <w:iCs/>
          <w:color w:val="C00000"/>
          <w:sz w:val="28"/>
          <w:szCs w:val="28"/>
        </w:rPr>
      </w:pPr>
      <w:r>
        <w:rPr>
          <w:rFonts w:ascii="Helvetica" w:hAnsi="Helvetica"/>
          <w:b/>
          <w:iCs/>
          <w:color w:val="C00000"/>
          <w:sz w:val="28"/>
          <w:szCs w:val="28"/>
        </w:rPr>
        <w:t>Process for development of the 2029-2032 SCAHT Research Program</w:t>
      </w:r>
    </w:p>
    <w:p w14:paraId="6FF0A443" w14:textId="3CA10037" w:rsidR="00AD2B36" w:rsidRDefault="00AD2B36" w:rsidP="007B0A1B">
      <w:pPr>
        <w:spacing w:after="120"/>
        <w:jc w:val="both"/>
        <w:outlineLvl w:val="0"/>
        <w:rPr>
          <w:rFonts w:ascii="Helvetica" w:hAnsi="Helvetica"/>
          <w:bCs/>
          <w:sz w:val="22"/>
          <w:szCs w:val="22"/>
          <w:lang w:val="en-GB"/>
        </w:rPr>
      </w:pPr>
      <w:r>
        <w:rPr>
          <w:rFonts w:ascii="Helvetica" w:hAnsi="Helvetica"/>
          <w:bCs/>
          <w:sz w:val="22"/>
          <w:szCs w:val="22"/>
          <w:lang w:val="en-GB"/>
        </w:rPr>
        <w:t xml:space="preserve">The application process consists of a two-step procedure. In the first step, applicants </w:t>
      </w:r>
      <w:r w:rsidR="007E74CB">
        <w:rPr>
          <w:rFonts w:ascii="Helvetica" w:hAnsi="Helvetica"/>
          <w:bCs/>
          <w:sz w:val="22"/>
          <w:szCs w:val="22"/>
          <w:lang w:val="en-GB"/>
        </w:rPr>
        <w:t xml:space="preserve">are asked to </w:t>
      </w:r>
      <w:r>
        <w:rPr>
          <w:rFonts w:ascii="Helvetica" w:hAnsi="Helvetica"/>
          <w:bCs/>
          <w:sz w:val="22"/>
          <w:szCs w:val="22"/>
          <w:lang w:val="en-GB"/>
        </w:rPr>
        <w:t>develop a pre-proposal outlining their idea and indicating partners, to be submitted by </w:t>
      </w:r>
      <w:r>
        <w:rPr>
          <w:rFonts w:ascii="Helvetica" w:hAnsi="Helvetica"/>
          <w:b/>
          <w:sz w:val="22"/>
          <w:szCs w:val="22"/>
          <w:lang w:val="en-GB"/>
        </w:rPr>
        <w:t>October 15, 2026</w:t>
      </w:r>
      <w:r>
        <w:rPr>
          <w:rFonts w:ascii="Helvetica" w:hAnsi="Helvetica"/>
          <w:bCs/>
          <w:sz w:val="22"/>
          <w:szCs w:val="22"/>
          <w:lang w:val="en-GB"/>
        </w:rPr>
        <w:t xml:space="preserve">. Pre-proposals for the two Focus Areas will undergo an initial evaluation by the SCAHT Directorate, with support from its Scientific Advisory Board and its Strategic Support Group of the Federal Offices. </w:t>
      </w:r>
    </w:p>
    <w:p w14:paraId="69FC036B" w14:textId="480A036E" w:rsidR="0078433E" w:rsidRDefault="00AD2B36" w:rsidP="007B0A1B">
      <w:pPr>
        <w:spacing w:after="120"/>
        <w:jc w:val="both"/>
        <w:outlineLvl w:val="0"/>
        <w:rPr>
          <w:rFonts w:ascii="Helvetica" w:hAnsi="Helvetica"/>
          <w:bCs/>
          <w:sz w:val="22"/>
          <w:szCs w:val="22"/>
          <w:lang w:val="en-GB"/>
        </w:rPr>
      </w:pPr>
      <w:r>
        <w:rPr>
          <w:rFonts w:ascii="Helvetica" w:hAnsi="Helvetica"/>
          <w:bCs/>
          <w:sz w:val="22"/>
          <w:szCs w:val="22"/>
          <w:lang w:val="en-GB"/>
        </w:rPr>
        <w:t>Applicants selected at this first stage will be invited to submit a full proposal as the second step, with an application deadline of </w:t>
      </w:r>
      <w:r>
        <w:rPr>
          <w:rFonts w:ascii="Helvetica" w:hAnsi="Helvetica"/>
          <w:b/>
          <w:sz w:val="22"/>
          <w:szCs w:val="22"/>
          <w:lang w:val="en-GB"/>
        </w:rPr>
        <w:t>February 28, 2027</w:t>
      </w:r>
      <w:r>
        <w:rPr>
          <w:rFonts w:ascii="Helvetica" w:hAnsi="Helvetica"/>
          <w:bCs/>
          <w:sz w:val="22"/>
          <w:szCs w:val="22"/>
          <w:lang w:val="en-GB"/>
        </w:rPr>
        <w:t>. The evaluation of the full proposals will be carried out by a panel of international subject-matter experts.</w:t>
      </w:r>
    </w:p>
    <w:p w14:paraId="1EE576D2" w14:textId="43327139" w:rsidR="007B0A1B" w:rsidRPr="007B0A1B" w:rsidRDefault="007B0A1B" w:rsidP="007B0A1B">
      <w:pPr>
        <w:spacing w:after="120"/>
        <w:jc w:val="both"/>
        <w:outlineLvl w:val="0"/>
        <w:rPr>
          <w:rFonts w:ascii="Helvetica" w:hAnsi="Helvetica"/>
          <w:bCs/>
          <w:sz w:val="22"/>
          <w:szCs w:val="22"/>
          <w:lang w:val="en-GB"/>
        </w:rPr>
      </w:pPr>
      <w:r>
        <w:rPr>
          <w:rFonts w:ascii="Helvetica" w:hAnsi="Helvetica"/>
          <w:bCs/>
          <w:sz w:val="22"/>
          <w:szCs w:val="22"/>
          <w:lang w:val="en-GB"/>
        </w:rPr>
        <w:t>The two selected proposals will be part of the overall SCAHT proposal for the next funding period 2029–2032 that needs to be submitted to the Swiss State Secretariat for Education, Research and Innovation by the end of June 2027.</w:t>
      </w:r>
    </w:p>
    <w:p w14:paraId="5ECC41AF" w14:textId="012E5E85" w:rsidR="007B0A1B" w:rsidRDefault="007B0A1B" w:rsidP="007B0A1B">
      <w:pPr>
        <w:spacing w:after="120"/>
        <w:jc w:val="both"/>
        <w:outlineLvl w:val="0"/>
        <w:rPr>
          <w:rFonts w:ascii="Helvetica" w:hAnsi="Helvetica"/>
          <w:b/>
          <w:sz w:val="22"/>
          <w:szCs w:val="22"/>
          <w:lang w:val="en-GB"/>
        </w:rPr>
      </w:pPr>
      <w:r>
        <w:rPr>
          <w:rFonts w:ascii="Helvetica" w:hAnsi="Helvetica"/>
          <w:bCs/>
          <w:sz w:val="22"/>
          <w:szCs w:val="22"/>
          <w:lang w:val="en-GB"/>
        </w:rPr>
        <w:t xml:space="preserve">Submission deadline for pre-proposals: </w:t>
      </w:r>
      <w:r>
        <w:rPr>
          <w:rFonts w:ascii="Helvetica" w:hAnsi="Helvetica"/>
          <w:b/>
          <w:sz w:val="22"/>
          <w:szCs w:val="22"/>
          <w:lang w:val="en-GB"/>
        </w:rPr>
        <w:t>October 15, 2026</w:t>
      </w:r>
    </w:p>
    <w:p w14:paraId="04FEEC1E" w14:textId="5C8471EE" w:rsidR="003554F0" w:rsidRPr="007B0A1B" w:rsidRDefault="007B0A1B" w:rsidP="007B0A1B">
      <w:pPr>
        <w:spacing w:after="120"/>
        <w:jc w:val="both"/>
        <w:outlineLvl w:val="0"/>
        <w:rPr>
          <w:rFonts w:ascii="Helvetica" w:hAnsi="Helvetica"/>
          <w:bCs/>
          <w:sz w:val="22"/>
          <w:szCs w:val="22"/>
          <w:lang w:val="en-GB"/>
        </w:rPr>
      </w:pPr>
      <w:r>
        <w:rPr>
          <w:rFonts w:ascii="Helvetica" w:hAnsi="Helvetica"/>
          <w:bCs/>
          <w:sz w:val="22"/>
          <w:szCs w:val="22"/>
          <w:lang w:val="en-GB"/>
        </w:rPr>
        <w:t>Submission deadline for full proposals:</w:t>
      </w:r>
      <w:r>
        <w:rPr>
          <w:rFonts w:ascii="Helvetica" w:hAnsi="Helvetica"/>
          <w:b/>
          <w:sz w:val="22"/>
          <w:szCs w:val="22"/>
          <w:lang w:val="en-GB"/>
        </w:rPr>
        <w:t xml:space="preserve"> February 28, 2027</w:t>
      </w:r>
    </w:p>
    <w:sectPr w:rsidR="003554F0" w:rsidRPr="007B0A1B" w:rsidSect="007043A2">
      <w:headerReference w:type="default" r:id="rId9"/>
      <w:footerReference w:type="default" r:id="rId10"/>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7BB585" w14:textId="77777777" w:rsidR="00DC2D12" w:rsidRDefault="00DC2D12" w:rsidP="00B933A0">
      <w:r>
        <w:separator/>
      </w:r>
    </w:p>
  </w:endnote>
  <w:endnote w:type="continuationSeparator" w:id="0">
    <w:p w14:paraId="1D706092" w14:textId="77777777" w:rsidR="00DC2D12" w:rsidRDefault="00DC2D12" w:rsidP="00B9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005594" w14:textId="64EC859F" w:rsidR="004A38D1" w:rsidRDefault="004A38D1">
    <w:pPr>
      <w:pStyle w:val="Pieddepage"/>
    </w:pPr>
    <w:r>
      <w:rPr>
        <w:noProof/>
      </w:rPr>
      <w:drawing>
        <wp:anchor distT="0" distB="0" distL="114300" distR="114300" simplePos="0" relativeHeight="251661312" behindDoc="0" locked="0" layoutInCell="1" allowOverlap="1" wp14:anchorId="5EE0B560" wp14:editId="31AFFBEB">
          <wp:simplePos x="0" y="0"/>
          <wp:positionH relativeFrom="column">
            <wp:posOffset>740410</wp:posOffset>
          </wp:positionH>
          <wp:positionV relativeFrom="paragraph">
            <wp:posOffset>-70485</wp:posOffset>
          </wp:positionV>
          <wp:extent cx="481965" cy="535940"/>
          <wp:effectExtent l="0" t="0" r="635" b="0"/>
          <wp:wrapNone/>
          <wp:docPr id="91287467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25964" name="Image 599625964"/>
                  <pic:cNvPicPr/>
                </pic:nvPicPr>
                <pic:blipFill rotWithShape="1">
                  <a:blip r:embed="rId1">
                    <a:extLst>
                      <a:ext uri="{28A0092B-C50C-407E-A947-70E740481C1C}">
                        <a14:useLocalDpi xmlns:a14="http://schemas.microsoft.com/office/drawing/2010/main" val="0"/>
                      </a:ext>
                    </a:extLst>
                  </a:blip>
                  <a:srcRect l="22286" r="25487" b="7163"/>
                  <a:stretch>
                    <a:fillRect/>
                  </a:stretch>
                </pic:blipFill>
                <pic:spPr bwMode="auto">
                  <a:xfrm>
                    <a:off x="0" y="0"/>
                    <a:ext cx="481965" cy="535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703A6DAC" wp14:editId="3E1E765F">
          <wp:simplePos x="0" y="0"/>
          <wp:positionH relativeFrom="column">
            <wp:posOffset>1342390</wp:posOffset>
          </wp:positionH>
          <wp:positionV relativeFrom="paragraph">
            <wp:posOffset>274320</wp:posOffset>
          </wp:positionV>
          <wp:extent cx="729615" cy="190500"/>
          <wp:effectExtent l="0" t="0" r="0" b="0"/>
          <wp:wrapNone/>
          <wp:docPr id="156471493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84206" name="Image 2047584206"/>
                  <pic:cNvPicPr/>
                </pic:nvPicPr>
                <pic:blipFill>
                  <a:blip r:embed="rId2">
                    <a:extLst>
                      <a:ext uri="{28A0092B-C50C-407E-A947-70E740481C1C}">
                        <a14:useLocalDpi xmlns:a14="http://schemas.microsoft.com/office/drawing/2010/main" val="0"/>
                      </a:ext>
                    </a:extLst>
                  </a:blip>
                  <a:stretch>
                    <a:fillRect/>
                  </a:stretch>
                </pic:blipFill>
                <pic:spPr>
                  <a:xfrm>
                    <a:off x="0" y="0"/>
                    <a:ext cx="729615" cy="190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BFCC011" wp14:editId="1C9FEB9C">
          <wp:simplePos x="0" y="0"/>
          <wp:positionH relativeFrom="column">
            <wp:posOffset>2191385</wp:posOffset>
          </wp:positionH>
          <wp:positionV relativeFrom="paragraph">
            <wp:posOffset>267335</wp:posOffset>
          </wp:positionV>
          <wp:extent cx="737870" cy="262255"/>
          <wp:effectExtent l="0" t="0" r="0" b="4445"/>
          <wp:wrapNone/>
          <wp:docPr id="23077249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21284" name="Image 1859121284"/>
                  <pic:cNvPicPr/>
                </pic:nvPicPr>
                <pic:blipFill>
                  <a:blip r:embed="rId3">
                    <a:extLst>
                      <a:ext uri="{28A0092B-C50C-407E-A947-70E740481C1C}">
                        <a14:useLocalDpi xmlns:a14="http://schemas.microsoft.com/office/drawing/2010/main" val="0"/>
                      </a:ext>
                    </a:extLst>
                  </a:blip>
                  <a:stretch>
                    <a:fillRect/>
                  </a:stretch>
                </pic:blipFill>
                <pic:spPr>
                  <a:xfrm>
                    <a:off x="0" y="0"/>
                    <a:ext cx="737870" cy="2622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9D17216" wp14:editId="0241427A">
          <wp:simplePos x="0" y="0"/>
          <wp:positionH relativeFrom="column">
            <wp:posOffset>2999829</wp:posOffset>
          </wp:positionH>
          <wp:positionV relativeFrom="paragraph">
            <wp:posOffset>296794</wp:posOffset>
          </wp:positionV>
          <wp:extent cx="2321560" cy="219075"/>
          <wp:effectExtent l="0" t="0" r="0" b="0"/>
          <wp:wrapNone/>
          <wp:docPr id="7500051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38876" name="Image 1782638876"/>
                  <pic:cNvPicPr/>
                </pic:nvPicPr>
                <pic:blipFill>
                  <a:blip r:embed="rId4">
                    <a:extLst>
                      <a:ext uri="{28A0092B-C50C-407E-A947-70E740481C1C}">
                        <a14:useLocalDpi xmlns:a14="http://schemas.microsoft.com/office/drawing/2010/main" val="0"/>
                      </a:ext>
                    </a:extLst>
                  </a:blip>
                  <a:stretch>
                    <a:fillRect/>
                  </a:stretch>
                </pic:blipFill>
                <pic:spPr>
                  <a:xfrm>
                    <a:off x="0" y="0"/>
                    <a:ext cx="2321560" cy="2190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94684E" w14:textId="77777777" w:rsidR="00DC2D12" w:rsidRDefault="00DC2D12" w:rsidP="00B933A0">
      <w:r>
        <w:separator/>
      </w:r>
    </w:p>
  </w:footnote>
  <w:footnote w:type="continuationSeparator" w:id="0">
    <w:p w14:paraId="0582B426" w14:textId="77777777" w:rsidR="00DC2D12" w:rsidRDefault="00DC2D12" w:rsidP="00B933A0">
      <w:r>
        <w:continuationSeparator/>
      </w:r>
    </w:p>
  </w:footnote>
  <w:footnote w:id="1">
    <w:p w14:paraId="7012AC98" w14:textId="4C2FBD3F" w:rsidR="00C64F68" w:rsidRPr="00C64F68" w:rsidRDefault="00C64F68" w:rsidP="00C64F68">
      <w:pPr>
        <w:spacing w:after="120"/>
        <w:jc w:val="both"/>
        <w:rPr>
          <w:rFonts w:ascii="Helvetica" w:hAnsi="Helvetica"/>
          <w:sz w:val="18"/>
          <w:szCs w:val="18"/>
        </w:rPr>
      </w:pPr>
      <w:r w:rsidRPr="00966B8A">
        <w:rPr>
          <w:rStyle w:val="Appelnotedebasdep"/>
        </w:rPr>
        <w:footnoteRef/>
      </w:r>
      <w:r w:rsidRPr="00966B8A">
        <w:t xml:space="preserve"> </w:t>
      </w:r>
      <w:r w:rsidRPr="00966B8A">
        <w:rPr>
          <w:rFonts w:ascii="Helvetica" w:hAnsi="Helvetica" w:cs="Segoe UI"/>
          <w:color w:val="212121"/>
          <w:sz w:val="18"/>
          <w:szCs w:val="18"/>
          <w:shd w:val="clear" w:color="auto" w:fill="FFFFFF"/>
        </w:rPr>
        <w:t xml:space="preserve">Crofton KM, Mundy WR, Lein PJ, Bal-Price A, Coecke S, Seiler AE, </w:t>
      </w:r>
      <w:proofErr w:type="spellStart"/>
      <w:r w:rsidRPr="00966B8A">
        <w:rPr>
          <w:rFonts w:ascii="Helvetica" w:hAnsi="Helvetica" w:cs="Segoe UI"/>
          <w:color w:val="212121"/>
          <w:sz w:val="18"/>
          <w:szCs w:val="18"/>
          <w:shd w:val="clear" w:color="auto" w:fill="FFFFFF"/>
        </w:rPr>
        <w:t>Knaut</w:t>
      </w:r>
      <w:proofErr w:type="spellEnd"/>
      <w:r w:rsidRPr="00966B8A">
        <w:rPr>
          <w:rFonts w:ascii="Helvetica" w:hAnsi="Helvetica" w:cs="Segoe UI"/>
          <w:color w:val="212121"/>
          <w:sz w:val="18"/>
          <w:szCs w:val="18"/>
          <w:shd w:val="clear" w:color="auto" w:fill="FFFFFF"/>
        </w:rPr>
        <w:t xml:space="preserve"> H, </w:t>
      </w:r>
      <w:proofErr w:type="spellStart"/>
      <w:r w:rsidRPr="00966B8A">
        <w:rPr>
          <w:rFonts w:ascii="Helvetica" w:hAnsi="Helvetica" w:cs="Segoe UI"/>
          <w:color w:val="212121"/>
          <w:sz w:val="18"/>
          <w:szCs w:val="18"/>
          <w:shd w:val="clear" w:color="auto" w:fill="FFFFFF"/>
        </w:rPr>
        <w:t>Buzanska</w:t>
      </w:r>
      <w:proofErr w:type="spellEnd"/>
      <w:r w:rsidRPr="00966B8A">
        <w:rPr>
          <w:rFonts w:ascii="Helvetica" w:hAnsi="Helvetica" w:cs="Segoe UI"/>
          <w:color w:val="212121"/>
          <w:sz w:val="18"/>
          <w:szCs w:val="18"/>
          <w:shd w:val="clear" w:color="auto" w:fill="FFFFFF"/>
        </w:rPr>
        <w:t xml:space="preserve"> L, Goldberg A. Developmental neurotoxicity testing: recommendations for developing alternative methods for the screening and prioritization of chemicals. ALTEX. 2011;28(1):9-15. PMID: 21311847.</w:t>
      </w:r>
    </w:p>
  </w:footnote>
  <w:footnote w:id="2">
    <w:p w14:paraId="591AFD4F" w14:textId="77777777" w:rsidR="00FF1427" w:rsidRPr="00D57FD6" w:rsidRDefault="00FF1427" w:rsidP="00FF1427">
      <w:pPr>
        <w:jc w:val="both"/>
        <w:outlineLvl w:val="0"/>
        <w:rPr>
          <w:rFonts w:ascii="Helvetica" w:hAnsi="Helvetica"/>
          <w:bCs/>
          <w:i/>
          <w:iCs/>
          <w:sz w:val="18"/>
          <w:szCs w:val="18"/>
        </w:rPr>
      </w:pPr>
      <w:r w:rsidRPr="001F367C">
        <w:rPr>
          <w:rStyle w:val="Appelnotedebasdep"/>
        </w:rPr>
        <w:footnoteRef/>
      </w:r>
      <w:r w:rsidRPr="001F367C">
        <w:t xml:space="preserve"> </w:t>
      </w:r>
      <w:r w:rsidRPr="001F367C">
        <w:rPr>
          <w:rFonts w:ascii="Helvetica" w:hAnsi="Helvetica"/>
          <w:bCs/>
          <w:i/>
          <w:iCs/>
          <w:sz w:val="18"/>
          <w:szCs w:val="18"/>
        </w:rPr>
        <w:t>Research projects are expected to provide sufficient resources of their own to ensure proper conduct and completion of the project in the form of staff, infrastructure, materials and equipment. These resources form part of the beneficiary’s in-kind contribution to the SCAHT and will, as a minimum, have to match SCAHT funding. As part of the Annual Report the beneficiary will be asked to list in-kind or other contributions, he/she has received in the accounting year.</w:t>
      </w:r>
    </w:p>
    <w:p w14:paraId="418F2ADE" w14:textId="7B74AC1E" w:rsidR="00FF1427" w:rsidRPr="00FF1427" w:rsidRDefault="00FF1427">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AF72F1" w14:textId="3681EDB0" w:rsidR="007043A2" w:rsidRDefault="00306B6F">
    <w:pPr>
      <w:pStyle w:val="En-tte"/>
    </w:pPr>
    <w:r w:rsidRPr="008332C5">
      <w:rPr>
        <w:noProof/>
        <w:color w:val="595959" w:themeColor="text1" w:themeTint="A6"/>
      </w:rPr>
      <w:drawing>
        <wp:anchor distT="0" distB="0" distL="114300" distR="114300" simplePos="0" relativeHeight="251659264" behindDoc="0" locked="0" layoutInCell="1" allowOverlap="1" wp14:anchorId="15F400BC" wp14:editId="28CFB9AD">
          <wp:simplePos x="0" y="0"/>
          <wp:positionH relativeFrom="column">
            <wp:posOffset>4537251</wp:posOffset>
          </wp:positionH>
          <wp:positionV relativeFrom="paragraph">
            <wp:posOffset>80010</wp:posOffset>
          </wp:positionV>
          <wp:extent cx="1259205" cy="275849"/>
          <wp:effectExtent l="0" t="0" r="0" b="3810"/>
          <wp:wrapNone/>
          <wp:docPr id="1709546894" name="Grafik 16">
            <a:extLst xmlns:a="http://schemas.openxmlformats.org/drawingml/2006/main">
              <a:ext uri="{FF2B5EF4-FFF2-40B4-BE49-F238E27FC236}">
                <a16:creationId xmlns:a16="http://schemas.microsoft.com/office/drawing/2014/main" id="{D5D1324A-D1E1-D667-299A-13D0815FAB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a:extLst>
                      <a:ext uri="{FF2B5EF4-FFF2-40B4-BE49-F238E27FC236}">
                        <a16:creationId xmlns:a16="http://schemas.microsoft.com/office/drawing/2014/main" id="{D5D1324A-D1E1-D667-299A-13D0815FABF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9205" cy="275849"/>
                  </a:xfrm>
                  <a:prstGeom prst="rect">
                    <a:avLst/>
                  </a:prstGeom>
                </pic:spPr>
              </pic:pic>
            </a:graphicData>
          </a:graphic>
          <wp14:sizeRelH relativeFrom="page">
            <wp14:pctWidth>0</wp14:pctWidth>
          </wp14:sizeRelH>
          <wp14:sizeRelV relativeFrom="page">
            <wp14:pctHeight>0</wp14:pctHeight>
          </wp14:sizeRelV>
        </wp:anchor>
      </w:drawing>
    </w:r>
    <w:r w:rsidR="006E6A4F" w:rsidRPr="006E6A4F">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4445B"/>
    <w:multiLevelType w:val="hybridMultilevel"/>
    <w:tmpl w:val="09AA407A"/>
    <w:lvl w:ilvl="0" w:tplc="F366357A">
      <w:numFmt w:val="bullet"/>
      <w:lvlText w:val="•"/>
      <w:lvlJc w:val="left"/>
      <w:pPr>
        <w:ind w:left="1080" w:hanging="72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612975"/>
    <w:multiLevelType w:val="hybridMultilevel"/>
    <w:tmpl w:val="5E8A39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C0520E"/>
    <w:multiLevelType w:val="hybridMultilevel"/>
    <w:tmpl w:val="67A8F8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A8409F"/>
    <w:multiLevelType w:val="hybridMultilevel"/>
    <w:tmpl w:val="A77A610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CCC7BC5"/>
    <w:multiLevelType w:val="hybridMultilevel"/>
    <w:tmpl w:val="1F961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A03080"/>
    <w:multiLevelType w:val="hybridMultilevel"/>
    <w:tmpl w:val="D8408DB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0173D61"/>
    <w:multiLevelType w:val="hybridMultilevel"/>
    <w:tmpl w:val="DF542D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B8C4984"/>
    <w:multiLevelType w:val="hybridMultilevel"/>
    <w:tmpl w:val="3000EF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C337DF"/>
    <w:multiLevelType w:val="hybridMultilevel"/>
    <w:tmpl w:val="8C225EB6"/>
    <w:lvl w:ilvl="0" w:tplc="C7DAA30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39401AE"/>
    <w:multiLevelType w:val="hybridMultilevel"/>
    <w:tmpl w:val="53160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99A677A"/>
    <w:multiLevelType w:val="hybridMultilevel"/>
    <w:tmpl w:val="FD6249BA"/>
    <w:lvl w:ilvl="0" w:tplc="04090001">
      <w:start w:val="1"/>
      <w:numFmt w:val="bullet"/>
      <w:lvlText w:val=""/>
      <w:lvlJc w:val="left"/>
      <w:pPr>
        <w:ind w:left="360" w:hanging="360"/>
      </w:pPr>
      <w:rPr>
        <w:rFonts w:ascii="Symbol" w:hAnsi="Symbol" w:hint="default"/>
      </w:rPr>
    </w:lvl>
    <w:lvl w:ilvl="1" w:tplc="E788ECD2">
      <w:numFmt w:val="bullet"/>
      <w:lvlText w:val="–"/>
      <w:lvlJc w:val="left"/>
      <w:pPr>
        <w:ind w:left="1080" w:hanging="360"/>
      </w:pPr>
      <w:rPr>
        <w:rFonts w:ascii="Helvetica" w:eastAsiaTheme="minorHAnsi" w:hAnsi="Helvetica"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7F2093"/>
    <w:multiLevelType w:val="hybridMultilevel"/>
    <w:tmpl w:val="9ABED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B6482E"/>
    <w:multiLevelType w:val="hybridMultilevel"/>
    <w:tmpl w:val="8F08A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C772525"/>
    <w:multiLevelType w:val="hybridMultilevel"/>
    <w:tmpl w:val="754C800A"/>
    <w:lvl w:ilvl="0" w:tplc="95AA3440">
      <w:numFmt w:val="bullet"/>
      <w:lvlText w:val="-"/>
      <w:lvlJc w:val="left"/>
      <w:pPr>
        <w:ind w:left="921" w:hanging="359"/>
      </w:pPr>
      <w:rPr>
        <w:rFonts w:ascii="Arial" w:eastAsia="Arial" w:hAnsi="Arial" w:cs="Arial" w:hint="default"/>
        <w:w w:val="100"/>
        <w:sz w:val="20"/>
        <w:szCs w:val="20"/>
      </w:rPr>
    </w:lvl>
    <w:lvl w:ilvl="1" w:tplc="D820E372">
      <w:numFmt w:val="bullet"/>
      <w:lvlText w:val="•"/>
      <w:lvlJc w:val="left"/>
      <w:pPr>
        <w:ind w:left="1770" w:hanging="359"/>
      </w:pPr>
      <w:rPr>
        <w:rFonts w:hint="default"/>
      </w:rPr>
    </w:lvl>
    <w:lvl w:ilvl="2" w:tplc="35321140">
      <w:numFmt w:val="bullet"/>
      <w:lvlText w:val="•"/>
      <w:lvlJc w:val="left"/>
      <w:pPr>
        <w:ind w:left="2620" w:hanging="359"/>
      </w:pPr>
      <w:rPr>
        <w:rFonts w:hint="default"/>
      </w:rPr>
    </w:lvl>
    <w:lvl w:ilvl="3" w:tplc="01E62B7A">
      <w:numFmt w:val="bullet"/>
      <w:lvlText w:val="•"/>
      <w:lvlJc w:val="left"/>
      <w:pPr>
        <w:ind w:left="3470" w:hanging="359"/>
      </w:pPr>
      <w:rPr>
        <w:rFonts w:hint="default"/>
      </w:rPr>
    </w:lvl>
    <w:lvl w:ilvl="4" w:tplc="52340600">
      <w:numFmt w:val="bullet"/>
      <w:lvlText w:val="•"/>
      <w:lvlJc w:val="left"/>
      <w:pPr>
        <w:ind w:left="4320" w:hanging="359"/>
      </w:pPr>
      <w:rPr>
        <w:rFonts w:hint="default"/>
      </w:rPr>
    </w:lvl>
    <w:lvl w:ilvl="5" w:tplc="8154E8EC">
      <w:numFmt w:val="bullet"/>
      <w:lvlText w:val="•"/>
      <w:lvlJc w:val="left"/>
      <w:pPr>
        <w:ind w:left="5170" w:hanging="359"/>
      </w:pPr>
      <w:rPr>
        <w:rFonts w:hint="default"/>
      </w:rPr>
    </w:lvl>
    <w:lvl w:ilvl="6" w:tplc="230280B4">
      <w:numFmt w:val="bullet"/>
      <w:lvlText w:val="•"/>
      <w:lvlJc w:val="left"/>
      <w:pPr>
        <w:ind w:left="6020" w:hanging="359"/>
      </w:pPr>
      <w:rPr>
        <w:rFonts w:hint="default"/>
      </w:rPr>
    </w:lvl>
    <w:lvl w:ilvl="7" w:tplc="15465BB8">
      <w:numFmt w:val="bullet"/>
      <w:lvlText w:val="•"/>
      <w:lvlJc w:val="left"/>
      <w:pPr>
        <w:ind w:left="6870" w:hanging="359"/>
      </w:pPr>
      <w:rPr>
        <w:rFonts w:hint="default"/>
      </w:rPr>
    </w:lvl>
    <w:lvl w:ilvl="8" w:tplc="16041E2C">
      <w:numFmt w:val="bullet"/>
      <w:lvlText w:val="•"/>
      <w:lvlJc w:val="left"/>
      <w:pPr>
        <w:ind w:left="7720" w:hanging="359"/>
      </w:pPr>
      <w:rPr>
        <w:rFonts w:hint="default"/>
      </w:rPr>
    </w:lvl>
  </w:abstractNum>
  <w:abstractNum w:abstractNumId="14" w15:restartNumberingAfterBreak="0">
    <w:nsid w:val="4E0D033A"/>
    <w:multiLevelType w:val="hybridMultilevel"/>
    <w:tmpl w:val="CB8077AC"/>
    <w:lvl w:ilvl="0" w:tplc="3122753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B617BF"/>
    <w:multiLevelType w:val="hybridMultilevel"/>
    <w:tmpl w:val="A6A8004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0630A9A"/>
    <w:multiLevelType w:val="hybridMultilevel"/>
    <w:tmpl w:val="8794C60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81659"/>
    <w:multiLevelType w:val="hybridMultilevel"/>
    <w:tmpl w:val="D4C28EC8"/>
    <w:lvl w:ilvl="0" w:tplc="1A4C407A">
      <w:numFmt w:val="bullet"/>
      <w:lvlText w:val="•"/>
      <w:lvlJc w:val="left"/>
      <w:pPr>
        <w:ind w:left="1080" w:hanging="72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470A31"/>
    <w:multiLevelType w:val="hybridMultilevel"/>
    <w:tmpl w:val="73EA3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EF49E6"/>
    <w:multiLevelType w:val="hybridMultilevel"/>
    <w:tmpl w:val="735AB2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39A31CB"/>
    <w:multiLevelType w:val="hybridMultilevel"/>
    <w:tmpl w:val="6A4EB6F8"/>
    <w:lvl w:ilvl="0" w:tplc="E2BCD658">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115A6"/>
    <w:multiLevelType w:val="hybridMultilevel"/>
    <w:tmpl w:val="4F3C4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AE5EAF"/>
    <w:multiLevelType w:val="hybridMultilevel"/>
    <w:tmpl w:val="4622F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4A293A"/>
    <w:multiLevelType w:val="hybridMultilevel"/>
    <w:tmpl w:val="BA106B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66183881">
    <w:abstractNumId w:val="22"/>
  </w:num>
  <w:num w:numId="2" w16cid:durableId="1909876032">
    <w:abstractNumId w:val="16"/>
  </w:num>
  <w:num w:numId="3" w16cid:durableId="138963960">
    <w:abstractNumId w:val="10"/>
  </w:num>
  <w:num w:numId="4" w16cid:durableId="1153371358">
    <w:abstractNumId w:val="18"/>
  </w:num>
  <w:num w:numId="5" w16cid:durableId="1926917235">
    <w:abstractNumId w:val="6"/>
  </w:num>
  <w:num w:numId="6" w16cid:durableId="1240796968">
    <w:abstractNumId w:val="19"/>
  </w:num>
  <w:num w:numId="7" w16cid:durableId="388766523">
    <w:abstractNumId w:val="5"/>
  </w:num>
  <w:num w:numId="8" w16cid:durableId="1537231168">
    <w:abstractNumId w:val="23"/>
  </w:num>
  <w:num w:numId="9" w16cid:durableId="846940734">
    <w:abstractNumId w:val="20"/>
  </w:num>
  <w:num w:numId="10" w16cid:durableId="540217198">
    <w:abstractNumId w:val="2"/>
  </w:num>
  <w:num w:numId="11" w16cid:durableId="922370614">
    <w:abstractNumId w:val="12"/>
  </w:num>
  <w:num w:numId="12" w16cid:durableId="1924140142">
    <w:abstractNumId w:val="17"/>
  </w:num>
  <w:num w:numId="13" w16cid:durableId="748504253">
    <w:abstractNumId w:val="15"/>
  </w:num>
  <w:num w:numId="14" w16cid:durableId="363334153">
    <w:abstractNumId w:val="9"/>
  </w:num>
  <w:num w:numId="15" w16cid:durableId="1314721351">
    <w:abstractNumId w:val="0"/>
  </w:num>
  <w:num w:numId="16" w16cid:durableId="2005548126">
    <w:abstractNumId w:val="7"/>
  </w:num>
  <w:num w:numId="17" w16cid:durableId="1198616059">
    <w:abstractNumId w:val="1"/>
  </w:num>
  <w:num w:numId="18" w16cid:durableId="1865552337">
    <w:abstractNumId w:val="14"/>
  </w:num>
  <w:num w:numId="19" w16cid:durableId="1930040428">
    <w:abstractNumId w:val="8"/>
  </w:num>
  <w:num w:numId="20" w16cid:durableId="796071895">
    <w:abstractNumId w:val="11"/>
  </w:num>
  <w:num w:numId="21" w16cid:durableId="1487816301">
    <w:abstractNumId w:val="21"/>
  </w:num>
  <w:num w:numId="22" w16cid:durableId="1454589625">
    <w:abstractNumId w:val="13"/>
  </w:num>
  <w:num w:numId="23" w16cid:durableId="175193936">
    <w:abstractNumId w:val="4"/>
  </w:num>
  <w:num w:numId="24" w16cid:durableId="2724464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9A"/>
    <w:rsid w:val="00007FD9"/>
    <w:rsid w:val="00010599"/>
    <w:rsid w:val="000215A7"/>
    <w:rsid w:val="000429E6"/>
    <w:rsid w:val="00054703"/>
    <w:rsid w:val="00067494"/>
    <w:rsid w:val="00076337"/>
    <w:rsid w:val="000864E6"/>
    <w:rsid w:val="00093CCD"/>
    <w:rsid w:val="00093E48"/>
    <w:rsid w:val="00097610"/>
    <w:rsid w:val="00097B9A"/>
    <w:rsid w:val="000A2074"/>
    <w:rsid w:val="000A257C"/>
    <w:rsid w:val="000A4239"/>
    <w:rsid w:val="000C3398"/>
    <w:rsid w:val="000C7497"/>
    <w:rsid w:val="000D0B8F"/>
    <w:rsid w:val="000E5EF7"/>
    <w:rsid w:val="000F324D"/>
    <w:rsid w:val="000F5A03"/>
    <w:rsid w:val="000F67E2"/>
    <w:rsid w:val="0010083A"/>
    <w:rsid w:val="00114E9A"/>
    <w:rsid w:val="00116BF3"/>
    <w:rsid w:val="00131F10"/>
    <w:rsid w:val="00136E74"/>
    <w:rsid w:val="00141C15"/>
    <w:rsid w:val="001439A8"/>
    <w:rsid w:val="00144B3E"/>
    <w:rsid w:val="001512B5"/>
    <w:rsid w:val="00156BA7"/>
    <w:rsid w:val="00167A37"/>
    <w:rsid w:val="00172871"/>
    <w:rsid w:val="00174FD7"/>
    <w:rsid w:val="00180482"/>
    <w:rsid w:val="00182874"/>
    <w:rsid w:val="00190750"/>
    <w:rsid w:val="001A5353"/>
    <w:rsid w:val="001A6F10"/>
    <w:rsid w:val="001B04ED"/>
    <w:rsid w:val="001B6F46"/>
    <w:rsid w:val="001C4368"/>
    <w:rsid w:val="001C6472"/>
    <w:rsid w:val="001D4155"/>
    <w:rsid w:val="001D55F8"/>
    <w:rsid w:val="001D586E"/>
    <w:rsid w:val="001D767E"/>
    <w:rsid w:val="001E126B"/>
    <w:rsid w:val="001E3017"/>
    <w:rsid w:val="001F367C"/>
    <w:rsid w:val="001F444B"/>
    <w:rsid w:val="001F7A47"/>
    <w:rsid w:val="0020177E"/>
    <w:rsid w:val="00203465"/>
    <w:rsid w:val="002126D1"/>
    <w:rsid w:val="0021379C"/>
    <w:rsid w:val="002505BF"/>
    <w:rsid w:val="00257E41"/>
    <w:rsid w:val="00260535"/>
    <w:rsid w:val="00260DFD"/>
    <w:rsid w:val="0026734B"/>
    <w:rsid w:val="00287E96"/>
    <w:rsid w:val="002A5DB5"/>
    <w:rsid w:val="002A6FBA"/>
    <w:rsid w:val="002A7EC7"/>
    <w:rsid w:val="002C2407"/>
    <w:rsid w:val="002E3345"/>
    <w:rsid w:val="002E4853"/>
    <w:rsid w:val="002F2472"/>
    <w:rsid w:val="002F3DD3"/>
    <w:rsid w:val="00302407"/>
    <w:rsid w:val="00306B6F"/>
    <w:rsid w:val="003203B1"/>
    <w:rsid w:val="003205F4"/>
    <w:rsid w:val="00322D18"/>
    <w:rsid w:val="00323DA5"/>
    <w:rsid w:val="00327540"/>
    <w:rsid w:val="00335D05"/>
    <w:rsid w:val="003531F3"/>
    <w:rsid w:val="003554F0"/>
    <w:rsid w:val="003609EF"/>
    <w:rsid w:val="00362841"/>
    <w:rsid w:val="003644FD"/>
    <w:rsid w:val="0036559D"/>
    <w:rsid w:val="00374D4D"/>
    <w:rsid w:val="003916A4"/>
    <w:rsid w:val="00394AB7"/>
    <w:rsid w:val="003A0415"/>
    <w:rsid w:val="003C0335"/>
    <w:rsid w:val="003C3D5C"/>
    <w:rsid w:val="003C5AC5"/>
    <w:rsid w:val="003C7848"/>
    <w:rsid w:val="003D67B8"/>
    <w:rsid w:val="003D6CB5"/>
    <w:rsid w:val="003E1A0B"/>
    <w:rsid w:val="003E25BA"/>
    <w:rsid w:val="003E38D9"/>
    <w:rsid w:val="003E664E"/>
    <w:rsid w:val="003F4EE9"/>
    <w:rsid w:val="00403F39"/>
    <w:rsid w:val="004047DB"/>
    <w:rsid w:val="00407EF0"/>
    <w:rsid w:val="00411AD0"/>
    <w:rsid w:val="00411FFD"/>
    <w:rsid w:val="00417B8F"/>
    <w:rsid w:val="00432005"/>
    <w:rsid w:val="004345AD"/>
    <w:rsid w:val="00434785"/>
    <w:rsid w:val="004555E2"/>
    <w:rsid w:val="00467057"/>
    <w:rsid w:val="004765D6"/>
    <w:rsid w:val="00480CED"/>
    <w:rsid w:val="004827A4"/>
    <w:rsid w:val="00483B71"/>
    <w:rsid w:val="00486B7D"/>
    <w:rsid w:val="00491EE5"/>
    <w:rsid w:val="004A20FA"/>
    <w:rsid w:val="004A38D1"/>
    <w:rsid w:val="004A51D8"/>
    <w:rsid w:val="004A6435"/>
    <w:rsid w:val="004B5A9D"/>
    <w:rsid w:val="004C2B45"/>
    <w:rsid w:val="004D0018"/>
    <w:rsid w:val="004D3C2C"/>
    <w:rsid w:val="004D5D12"/>
    <w:rsid w:val="004D61AF"/>
    <w:rsid w:val="004E76A6"/>
    <w:rsid w:val="004F5886"/>
    <w:rsid w:val="00501407"/>
    <w:rsid w:val="00530FAC"/>
    <w:rsid w:val="005357BA"/>
    <w:rsid w:val="00541CAC"/>
    <w:rsid w:val="005632C0"/>
    <w:rsid w:val="00567F4E"/>
    <w:rsid w:val="00570A98"/>
    <w:rsid w:val="00571DCE"/>
    <w:rsid w:val="00573854"/>
    <w:rsid w:val="00575B49"/>
    <w:rsid w:val="005827A2"/>
    <w:rsid w:val="0059079A"/>
    <w:rsid w:val="00591CE2"/>
    <w:rsid w:val="0059328D"/>
    <w:rsid w:val="005A234F"/>
    <w:rsid w:val="005A2D9A"/>
    <w:rsid w:val="005A33ED"/>
    <w:rsid w:val="005B3D76"/>
    <w:rsid w:val="005B667D"/>
    <w:rsid w:val="005C6B8F"/>
    <w:rsid w:val="005C6C57"/>
    <w:rsid w:val="005C720C"/>
    <w:rsid w:val="005D19B4"/>
    <w:rsid w:val="005D2470"/>
    <w:rsid w:val="005D5BB5"/>
    <w:rsid w:val="005D65FF"/>
    <w:rsid w:val="005F0532"/>
    <w:rsid w:val="005F4D07"/>
    <w:rsid w:val="00620AA8"/>
    <w:rsid w:val="00621D69"/>
    <w:rsid w:val="00647676"/>
    <w:rsid w:val="0065441A"/>
    <w:rsid w:val="00660D10"/>
    <w:rsid w:val="00663F0D"/>
    <w:rsid w:val="00690E99"/>
    <w:rsid w:val="00697485"/>
    <w:rsid w:val="006A5E8C"/>
    <w:rsid w:val="006A667B"/>
    <w:rsid w:val="006B3962"/>
    <w:rsid w:val="006C2FA0"/>
    <w:rsid w:val="006C55BE"/>
    <w:rsid w:val="006C70F3"/>
    <w:rsid w:val="006D1594"/>
    <w:rsid w:val="006E1FDD"/>
    <w:rsid w:val="006E33E6"/>
    <w:rsid w:val="006E6A4F"/>
    <w:rsid w:val="006F2DBF"/>
    <w:rsid w:val="00703107"/>
    <w:rsid w:val="007043A2"/>
    <w:rsid w:val="00710DBD"/>
    <w:rsid w:val="00711F18"/>
    <w:rsid w:val="00713E36"/>
    <w:rsid w:val="00714D48"/>
    <w:rsid w:val="0071630F"/>
    <w:rsid w:val="00720A88"/>
    <w:rsid w:val="00724B01"/>
    <w:rsid w:val="00764A98"/>
    <w:rsid w:val="00770D41"/>
    <w:rsid w:val="00774764"/>
    <w:rsid w:val="0078049E"/>
    <w:rsid w:val="0078433E"/>
    <w:rsid w:val="007904C7"/>
    <w:rsid w:val="00793386"/>
    <w:rsid w:val="007A2ED7"/>
    <w:rsid w:val="007B0A1B"/>
    <w:rsid w:val="007B1A11"/>
    <w:rsid w:val="007B7834"/>
    <w:rsid w:val="007D013B"/>
    <w:rsid w:val="007E6AC3"/>
    <w:rsid w:val="007E74CB"/>
    <w:rsid w:val="007F3B3C"/>
    <w:rsid w:val="007F3C05"/>
    <w:rsid w:val="007F4520"/>
    <w:rsid w:val="007F7286"/>
    <w:rsid w:val="007F7F9E"/>
    <w:rsid w:val="0080066F"/>
    <w:rsid w:val="0080109D"/>
    <w:rsid w:val="0080215B"/>
    <w:rsid w:val="00820EFE"/>
    <w:rsid w:val="0082110F"/>
    <w:rsid w:val="00824640"/>
    <w:rsid w:val="008258D6"/>
    <w:rsid w:val="00825BCA"/>
    <w:rsid w:val="008321D3"/>
    <w:rsid w:val="008346BF"/>
    <w:rsid w:val="00840007"/>
    <w:rsid w:val="00845316"/>
    <w:rsid w:val="008460D0"/>
    <w:rsid w:val="00860687"/>
    <w:rsid w:val="00865ACF"/>
    <w:rsid w:val="00880C87"/>
    <w:rsid w:val="00884B91"/>
    <w:rsid w:val="00890680"/>
    <w:rsid w:val="008A01BE"/>
    <w:rsid w:val="008A4639"/>
    <w:rsid w:val="008B30C0"/>
    <w:rsid w:val="008C001D"/>
    <w:rsid w:val="008E13F5"/>
    <w:rsid w:val="008F49EC"/>
    <w:rsid w:val="008F6834"/>
    <w:rsid w:val="00932690"/>
    <w:rsid w:val="0093398B"/>
    <w:rsid w:val="00945A2F"/>
    <w:rsid w:val="00951F58"/>
    <w:rsid w:val="00966B8A"/>
    <w:rsid w:val="00981544"/>
    <w:rsid w:val="009854AD"/>
    <w:rsid w:val="0099119B"/>
    <w:rsid w:val="009923DC"/>
    <w:rsid w:val="009B0804"/>
    <w:rsid w:val="009B5D93"/>
    <w:rsid w:val="009C1EFF"/>
    <w:rsid w:val="009C70A5"/>
    <w:rsid w:val="009D6F7C"/>
    <w:rsid w:val="009E25AA"/>
    <w:rsid w:val="009E4BE2"/>
    <w:rsid w:val="009E67B3"/>
    <w:rsid w:val="009F265F"/>
    <w:rsid w:val="009F4008"/>
    <w:rsid w:val="00A00FDA"/>
    <w:rsid w:val="00A045C0"/>
    <w:rsid w:val="00A11DB6"/>
    <w:rsid w:val="00A12A1F"/>
    <w:rsid w:val="00A13F05"/>
    <w:rsid w:val="00A357C8"/>
    <w:rsid w:val="00A36AB6"/>
    <w:rsid w:val="00A53664"/>
    <w:rsid w:val="00A54997"/>
    <w:rsid w:val="00A60292"/>
    <w:rsid w:val="00A61EDA"/>
    <w:rsid w:val="00A63FD7"/>
    <w:rsid w:val="00A729D1"/>
    <w:rsid w:val="00A822D1"/>
    <w:rsid w:val="00A90CA7"/>
    <w:rsid w:val="00AB3588"/>
    <w:rsid w:val="00AC3BEE"/>
    <w:rsid w:val="00AD2B36"/>
    <w:rsid w:val="00AD3071"/>
    <w:rsid w:val="00B01342"/>
    <w:rsid w:val="00B03AAE"/>
    <w:rsid w:val="00B240CE"/>
    <w:rsid w:val="00B53429"/>
    <w:rsid w:val="00B55A86"/>
    <w:rsid w:val="00B61D61"/>
    <w:rsid w:val="00B77DCC"/>
    <w:rsid w:val="00B800F8"/>
    <w:rsid w:val="00B933A0"/>
    <w:rsid w:val="00B962C4"/>
    <w:rsid w:val="00B96434"/>
    <w:rsid w:val="00BA5C1C"/>
    <w:rsid w:val="00BB52BE"/>
    <w:rsid w:val="00BC1131"/>
    <w:rsid w:val="00BC56B7"/>
    <w:rsid w:val="00BC62AA"/>
    <w:rsid w:val="00BD6F83"/>
    <w:rsid w:val="00BE0C5E"/>
    <w:rsid w:val="00BE2C89"/>
    <w:rsid w:val="00BF0076"/>
    <w:rsid w:val="00BF0E3E"/>
    <w:rsid w:val="00BF7EB1"/>
    <w:rsid w:val="00C00709"/>
    <w:rsid w:val="00C00C81"/>
    <w:rsid w:val="00C150B1"/>
    <w:rsid w:val="00C30165"/>
    <w:rsid w:val="00C30B34"/>
    <w:rsid w:val="00C350A0"/>
    <w:rsid w:val="00C45054"/>
    <w:rsid w:val="00C46AB6"/>
    <w:rsid w:val="00C47406"/>
    <w:rsid w:val="00C56F52"/>
    <w:rsid w:val="00C6430F"/>
    <w:rsid w:val="00C64F68"/>
    <w:rsid w:val="00C73CE0"/>
    <w:rsid w:val="00C804DE"/>
    <w:rsid w:val="00C9719D"/>
    <w:rsid w:val="00CC6AF6"/>
    <w:rsid w:val="00CC7527"/>
    <w:rsid w:val="00CD0ED1"/>
    <w:rsid w:val="00CD70FE"/>
    <w:rsid w:val="00CF39B2"/>
    <w:rsid w:val="00CF4BD4"/>
    <w:rsid w:val="00D014F8"/>
    <w:rsid w:val="00D04798"/>
    <w:rsid w:val="00D05701"/>
    <w:rsid w:val="00D116B7"/>
    <w:rsid w:val="00D13C61"/>
    <w:rsid w:val="00D13D6D"/>
    <w:rsid w:val="00D16727"/>
    <w:rsid w:val="00D16A63"/>
    <w:rsid w:val="00D16E63"/>
    <w:rsid w:val="00D17B14"/>
    <w:rsid w:val="00D2166F"/>
    <w:rsid w:val="00D34C6A"/>
    <w:rsid w:val="00D46F3B"/>
    <w:rsid w:val="00D5335A"/>
    <w:rsid w:val="00D57FD6"/>
    <w:rsid w:val="00D622F9"/>
    <w:rsid w:val="00D67642"/>
    <w:rsid w:val="00D73DDF"/>
    <w:rsid w:val="00D74EEE"/>
    <w:rsid w:val="00D81530"/>
    <w:rsid w:val="00D87080"/>
    <w:rsid w:val="00D93B5A"/>
    <w:rsid w:val="00D963E7"/>
    <w:rsid w:val="00DA4C31"/>
    <w:rsid w:val="00DB3B62"/>
    <w:rsid w:val="00DB6319"/>
    <w:rsid w:val="00DC202E"/>
    <w:rsid w:val="00DC2CDA"/>
    <w:rsid w:val="00DC2D12"/>
    <w:rsid w:val="00DC6BA2"/>
    <w:rsid w:val="00DD0258"/>
    <w:rsid w:val="00DD20E4"/>
    <w:rsid w:val="00DE1686"/>
    <w:rsid w:val="00E01C2D"/>
    <w:rsid w:val="00E31BC0"/>
    <w:rsid w:val="00E4751E"/>
    <w:rsid w:val="00E508C3"/>
    <w:rsid w:val="00E57266"/>
    <w:rsid w:val="00E605B0"/>
    <w:rsid w:val="00E6106A"/>
    <w:rsid w:val="00E65038"/>
    <w:rsid w:val="00E665F6"/>
    <w:rsid w:val="00E77184"/>
    <w:rsid w:val="00E83DD0"/>
    <w:rsid w:val="00EA2B61"/>
    <w:rsid w:val="00EB03B1"/>
    <w:rsid w:val="00EB133E"/>
    <w:rsid w:val="00EB344C"/>
    <w:rsid w:val="00EB64AE"/>
    <w:rsid w:val="00EC25B3"/>
    <w:rsid w:val="00ED1765"/>
    <w:rsid w:val="00ED1773"/>
    <w:rsid w:val="00ED4D70"/>
    <w:rsid w:val="00ED5769"/>
    <w:rsid w:val="00EE2E76"/>
    <w:rsid w:val="00EF33B0"/>
    <w:rsid w:val="00F27E5D"/>
    <w:rsid w:val="00F324A7"/>
    <w:rsid w:val="00F3327C"/>
    <w:rsid w:val="00F37B8B"/>
    <w:rsid w:val="00F4224D"/>
    <w:rsid w:val="00F44E37"/>
    <w:rsid w:val="00F45764"/>
    <w:rsid w:val="00F45E26"/>
    <w:rsid w:val="00F465F8"/>
    <w:rsid w:val="00F557E9"/>
    <w:rsid w:val="00F855AB"/>
    <w:rsid w:val="00FA06FF"/>
    <w:rsid w:val="00FA729B"/>
    <w:rsid w:val="00FD268D"/>
    <w:rsid w:val="00FD4494"/>
    <w:rsid w:val="00FD5372"/>
    <w:rsid w:val="00FF1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B65C"/>
  <w14:defaultImageDpi w14:val="32767"/>
  <w15:chartTrackingRefBased/>
  <w15:docId w15:val="{D1DAB8BB-DD11-034F-AC11-E56F45BC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3F39"/>
    <w:rPr>
      <w:rFonts w:ascii="Times New Roman" w:eastAsia="Times New Roman" w:hAnsi="Times New Roman" w:cs="Times New Roman"/>
      <w:lang w:val="en-US"/>
    </w:rPr>
  </w:style>
  <w:style w:type="paragraph" w:styleId="Titre1">
    <w:name w:val="heading 1"/>
    <w:basedOn w:val="Normal"/>
    <w:link w:val="Titre1Car"/>
    <w:uiPriority w:val="9"/>
    <w:qFormat/>
    <w:rsid w:val="00C00C81"/>
    <w:pPr>
      <w:widowControl w:val="0"/>
      <w:autoSpaceDE w:val="0"/>
      <w:autoSpaceDN w:val="0"/>
      <w:ind w:left="1323" w:right="1271"/>
      <w:jc w:val="center"/>
      <w:outlineLvl w:val="0"/>
    </w:pPr>
    <w:rPr>
      <w:rFonts w:ascii="Arial" w:eastAsia="Arial" w:hAnsi="Arial" w:cs="Arial"/>
      <w:b/>
      <w:bCs/>
      <w:sz w:val="22"/>
      <w:szCs w:val="22"/>
    </w:rPr>
  </w:style>
  <w:style w:type="paragraph" w:styleId="Titre2">
    <w:name w:val="heading 2"/>
    <w:basedOn w:val="Normal"/>
    <w:next w:val="Normal"/>
    <w:link w:val="Titre2Car"/>
    <w:uiPriority w:val="9"/>
    <w:semiHidden/>
    <w:unhideWhenUsed/>
    <w:qFormat/>
    <w:rsid w:val="003554F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A045C0"/>
    <w:pPr>
      <w:ind w:left="720"/>
      <w:contextualSpacing/>
    </w:pPr>
    <w:rPr>
      <w:rFonts w:asciiTheme="minorHAnsi" w:eastAsiaTheme="minorHAnsi" w:hAnsiTheme="minorHAnsi" w:cstheme="minorBidi"/>
      <w:lang w:val="en-GB"/>
    </w:rPr>
  </w:style>
  <w:style w:type="paragraph" w:styleId="Textedebulles">
    <w:name w:val="Balloon Text"/>
    <w:basedOn w:val="Normal"/>
    <w:link w:val="TextedebullesCar"/>
    <w:uiPriority w:val="99"/>
    <w:semiHidden/>
    <w:unhideWhenUsed/>
    <w:rsid w:val="00BA5C1C"/>
    <w:rPr>
      <w:sz w:val="18"/>
      <w:szCs w:val="18"/>
    </w:rPr>
  </w:style>
  <w:style w:type="character" w:customStyle="1" w:styleId="TextedebullesCar">
    <w:name w:val="Texte de bulles Car"/>
    <w:basedOn w:val="Policepardfaut"/>
    <w:link w:val="Textedebulles"/>
    <w:uiPriority w:val="99"/>
    <w:semiHidden/>
    <w:rsid w:val="00BA5C1C"/>
    <w:rPr>
      <w:rFonts w:ascii="Times New Roman" w:eastAsia="Times New Roman" w:hAnsi="Times New Roman" w:cs="Times New Roman"/>
      <w:sz w:val="18"/>
      <w:szCs w:val="18"/>
      <w:lang w:val="en-US"/>
    </w:rPr>
  </w:style>
  <w:style w:type="character" w:styleId="Marquedecommentaire">
    <w:name w:val="annotation reference"/>
    <w:basedOn w:val="Policepardfaut"/>
    <w:uiPriority w:val="99"/>
    <w:semiHidden/>
    <w:unhideWhenUsed/>
    <w:rsid w:val="00F3327C"/>
    <w:rPr>
      <w:sz w:val="16"/>
      <w:szCs w:val="16"/>
    </w:rPr>
  </w:style>
  <w:style w:type="paragraph" w:styleId="Commentaire">
    <w:name w:val="annotation text"/>
    <w:basedOn w:val="Normal"/>
    <w:link w:val="CommentaireCar"/>
    <w:uiPriority w:val="99"/>
    <w:unhideWhenUsed/>
    <w:rsid w:val="00F3327C"/>
    <w:rPr>
      <w:sz w:val="20"/>
      <w:szCs w:val="20"/>
    </w:rPr>
  </w:style>
  <w:style w:type="character" w:customStyle="1" w:styleId="CommentaireCar">
    <w:name w:val="Commentaire Car"/>
    <w:basedOn w:val="Policepardfaut"/>
    <w:link w:val="Commentaire"/>
    <w:uiPriority w:val="99"/>
    <w:rsid w:val="00F3327C"/>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F3327C"/>
    <w:rPr>
      <w:b/>
      <w:bCs/>
    </w:rPr>
  </w:style>
  <w:style w:type="character" w:customStyle="1" w:styleId="ObjetducommentaireCar">
    <w:name w:val="Objet du commentaire Car"/>
    <w:basedOn w:val="CommentaireCar"/>
    <w:link w:val="Objetducommentaire"/>
    <w:uiPriority w:val="99"/>
    <w:semiHidden/>
    <w:rsid w:val="00F3327C"/>
    <w:rPr>
      <w:rFonts w:ascii="Times New Roman" w:eastAsia="Times New Roman" w:hAnsi="Times New Roman" w:cs="Times New Roman"/>
      <w:b/>
      <w:bCs/>
      <w:sz w:val="20"/>
      <w:szCs w:val="20"/>
      <w:lang w:val="en-US"/>
    </w:rPr>
  </w:style>
  <w:style w:type="paragraph" w:styleId="Rvision">
    <w:name w:val="Revision"/>
    <w:hidden/>
    <w:uiPriority w:val="99"/>
    <w:semiHidden/>
    <w:rsid w:val="0036559D"/>
    <w:rPr>
      <w:rFonts w:ascii="Times New Roman" w:eastAsia="Times New Roman" w:hAnsi="Times New Roman" w:cs="Times New Roman"/>
      <w:lang w:val="en-US"/>
    </w:rPr>
  </w:style>
  <w:style w:type="paragraph" w:styleId="En-tte">
    <w:name w:val="header"/>
    <w:basedOn w:val="Normal"/>
    <w:link w:val="En-tteCar"/>
    <w:uiPriority w:val="99"/>
    <w:unhideWhenUsed/>
    <w:rsid w:val="00B933A0"/>
    <w:pPr>
      <w:tabs>
        <w:tab w:val="center" w:pos="4536"/>
        <w:tab w:val="right" w:pos="9072"/>
      </w:tabs>
    </w:pPr>
  </w:style>
  <w:style w:type="character" w:customStyle="1" w:styleId="En-tteCar">
    <w:name w:val="En-tête Car"/>
    <w:basedOn w:val="Policepardfaut"/>
    <w:link w:val="En-tte"/>
    <w:uiPriority w:val="99"/>
    <w:rsid w:val="00B933A0"/>
    <w:rPr>
      <w:rFonts w:ascii="Times New Roman" w:eastAsia="Times New Roman" w:hAnsi="Times New Roman" w:cs="Times New Roman"/>
      <w:lang w:val="en-US"/>
    </w:rPr>
  </w:style>
  <w:style w:type="paragraph" w:styleId="Pieddepage">
    <w:name w:val="footer"/>
    <w:basedOn w:val="Normal"/>
    <w:link w:val="PieddepageCar"/>
    <w:uiPriority w:val="99"/>
    <w:unhideWhenUsed/>
    <w:rsid w:val="00B933A0"/>
    <w:pPr>
      <w:tabs>
        <w:tab w:val="center" w:pos="4536"/>
        <w:tab w:val="right" w:pos="9072"/>
      </w:tabs>
    </w:pPr>
  </w:style>
  <w:style w:type="character" w:customStyle="1" w:styleId="PieddepageCar">
    <w:name w:val="Pied de page Car"/>
    <w:basedOn w:val="Policepardfaut"/>
    <w:link w:val="Pieddepage"/>
    <w:uiPriority w:val="99"/>
    <w:rsid w:val="00B933A0"/>
    <w:rPr>
      <w:rFonts w:ascii="Times New Roman" w:eastAsia="Times New Roman" w:hAnsi="Times New Roman" w:cs="Times New Roman"/>
      <w:lang w:val="en-US"/>
    </w:rPr>
  </w:style>
  <w:style w:type="paragraph" w:customStyle="1" w:styleId="p1">
    <w:name w:val="p1"/>
    <w:basedOn w:val="Normal"/>
    <w:rsid w:val="00E4751E"/>
    <w:rPr>
      <w:rFonts w:ascii="Helvetica" w:hAnsi="Helvetica"/>
      <w:color w:val="000000"/>
      <w:sz w:val="17"/>
      <w:szCs w:val="17"/>
      <w:lang w:val="fr-CH" w:eastAsia="fr-FR"/>
    </w:rPr>
  </w:style>
  <w:style w:type="character" w:customStyle="1" w:styleId="apple-converted-space">
    <w:name w:val="apple-converted-space"/>
    <w:basedOn w:val="Policepardfaut"/>
    <w:rsid w:val="00E4751E"/>
  </w:style>
  <w:style w:type="character" w:customStyle="1" w:styleId="Titre1Car">
    <w:name w:val="Titre 1 Car"/>
    <w:basedOn w:val="Policepardfaut"/>
    <w:link w:val="Titre1"/>
    <w:uiPriority w:val="9"/>
    <w:rsid w:val="00C00C81"/>
    <w:rPr>
      <w:rFonts w:ascii="Arial" w:eastAsia="Arial" w:hAnsi="Arial" w:cs="Arial"/>
      <w:b/>
      <w:bCs/>
      <w:sz w:val="22"/>
      <w:szCs w:val="22"/>
      <w:lang w:val="en-US"/>
    </w:rPr>
  </w:style>
  <w:style w:type="paragraph" w:styleId="Corpsdetexte">
    <w:name w:val="Body Text"/>
    <w:basedOn w:val="Normal"/>
    <w:link w:val="CorpsdetexteCar"/>
    <w:uiPriority w:val="1"/>
    <w:qFormat/>
    <w:rsid w:val="00C00C81"/>
    <w:pPr>
      <w:widowControl w:val="0"/>
      <w:autoSpaceDE w:val="0"/>
      <w:autoSpaceDN w:val="0"/>
    </w:pPr>
    <w:rPr>
      <w:rFonts w:ascii="Arial" w:eastAsia="Arial" w:hAnsi="Arial" w:cs="Arial"/>
      <w:sz w:val="20"/>
      <w:szCs w:val="20"/>
    </w:rPr>
  </w:style>
  <w:style w:type="character" w:customStyle="1" w:styleId="CorpsdetexteCar">
    <w:name w:val="Corps de texte Car"/>
    <w:basedOn w:val="Policepardfaut"/>
    <w:link w:val="Corpsdetexte"/>
    <w:uiPriority w:val="1"/>
    <w:rsid w:val="00C00C81"/>
    <w:rPr>
      <w:rFonts w:ascii="Arial" w:eastAsia="Arial" w:hAnsi="Arial" w:cs="Arial"/>
      <w:sz w:val="20"/>
      <w:szCs w:val="20"/>
      <w:lang w:val="en-US"/>
    </w:rPr>
  </w:style>
  <w:style w:type="paragraph" w:customStyle="1" w:styleId="BER-content">
    <w:name w:val="BER-content"/>
    <w:basedOn w:val="Normal"/>
    <w:rsid w:val="00C00C81"/>
    <w:pPr>
      <w:spacing w:before="80" w:line="280" w:lineRule="atLeast"/>
    </w:pPr>
    <w:rPr>
      <w:rFonts w:ascii="Arial" w:hAnsi="Arial"/>
      <w:sz w:val="20"/>
      <w:lang w:val="de-CH"/>
    </w:rPr>
  </w:style>
  <w:style w:type="character" w:styleId="Lienhypertexte">
    <w:name w:val="Hyperlink"/>
    <w:basedOn w:val="Policepardfaut"/>
    <w:uiPriority w:val="99"/>
    <w:unhideWhenUsed/>
    <w:rsid w:val="00C00C81"/>
    <w:rPr>
      <w:color w:val="0563C1" w:themeColor="hyperlink"/>
      <w:u w:val="single"/>
    </w:rPr>
  </w:style>
  <w:style w:type="character" w:customStyle="1" w:styleId="Titre2Car">
    <w:name w:val="Titre 2 Car"/>
    <w:basedOn w:val="Policepardfaut"/>
    <w:link w:val="Titre2"/>
    <w:uiPriority w:val="9"/>
    <w:semiHidden/>
    <w:rsid w:val="003554F0"/>
    <w:rPr>
      <w:rFonts w:asciiTheme="majorHAnsi" w:eastAsiaTheme="majorEastAsia" w:hAnsiTheme="majorHAnsi" w:cstheme="majorBidi"/>
      <w:color w:val="2F5496" w:themeColor="accent1" w:themeShade="BF"/>
      <w:sz w:val="26"/>
      <w:szCs w:val="26"/>
      <w:lang w:val="en-US"/>
    </w:rPr>
  </w:style>
  <w:style w:type="paragraph" w:styleId="Notedebasdepage">
    <w:name w:val="footnote text"/>
    <w:basedOn w:val="Normal"/>
    <w:link w:val="NotedebasdepageCar"/>
    <w:uiPriority w:val="99"/>
    <w:semiHidden/>
    <w:unhideWhenUsed/>
    <w:rsid w:val="00C64F68"/>
    <w:rPr>
      <w:sz w:val="20"/>
      <w:szCs w:val="20"/>
    </w:rPr>
  </w:style>
  <w:style w:type="character" w:customStyle="1" w:styleId="NotedebasdepageCar">
    <w:name w:val="Note de bas de page Car"/>
    <w:basedOn w:val="Policepardfaut"/>
    <w:link w:val="Notedebasdepage"/>
    <w:uiPriority w:val="99"/>
    <w:semiHidden/>
    <w:rsid w:val="00C64F68"/>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unhideWhenUsed/>
    <w:rsid w:val="00C64F68"/>
    <w:rPr>
      <w:vertAlign w:val="superscript"/>
    </w:rPr>
  </w:style>
  <w:style w:type="paragraph" w:customStyle="1" w:styleId="font-claude-response-body">
    <w:name w:val="font-claude-response-body"/>
    <w:basedOn w:val="Normal"/>
    <w:rsid w:val="00AD2B36"/>
    <w:pPr>
      <w:spacing w:before="100" w:beforeAutospacing="1" w:after="100" w:afterAutospacing="1"/>
    </w:pPr>
    <w:rPr>
      <w:lang w:val="fr-CH" w:eastAsia="fr-FR"/>
    </w:rPr>
  </w:style>
  <w:style w:type="character" w:styleId="lev">
    <w:name w:val="Strong"/>
    <w:basedOn w:val="Policepardfaut"/>
    <w:uiPriority w:val="22"/>
    <w:qFormat/>
    <w:rsid w:val="00AD2B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538822">
      <w:bodyDiv w:val="1"/>
      <w:marLeft w:val="0"/>
      <w:marRight w:val="0"/>
      <w:marTop w:val="0"/>
      <w:marBottom w:val="0"/>
      <w:divBdr>
        <w:top w:val="none" w:sz="0" w:space="0" w:color="auto"/>
        <w:left w:val="none" w:sz="0" w:space="0" w:color="auto"/>
        <w:bottom w:val="none" w:sz="0" w:space="0" w:color="auto"/>
        <w:right w:val="none" w:sz="0" w:space="0" w:color="auto"/>
      </w:divBdr>
    </w:div>
    <w:div w:id="1241140371">
      <w:bodyDiv w:val="1"/>
      <w:marLeft w:val="0"/>
      <w:marRight w:val="0"/>
      <w:marTop w:val="0"/>
      <w:marBottom w:val="0"/>
      <w:divBdr>
        <w:top w:val="none" w:sz="0" w:space="0" w:color="auto"/>
        <w:left w:val="none" w:sz="0" w:space="0" w:color="auto"/>
        <w:bottom w:val="none" w:sz="0" w:space="0" w:color="auto"/>
        <w:right w:val="none" w:sz="0" w:space="0" w:color="auto"/>
      </w:divBdr>
    </w:div>
    <w:div w:id="1306668329">
      <w:bodyDiv w:val="1"/>
      <w:marLeft w:val="0"/>
      <w:marRight w:val="0"/>
      <w:marTop w:val="0"/>
      <w:marBottom w:val="0"/>
      <w:divBdr>
        <w:top w:val="none" w:sz="0" w:space="0" w:color="auto"/>
        <w:left w:val="none" w:sz="0" w:space="0" w:color="auto"/>
        <w:bottom w:val="none" w:sz="0" w:space="0" w:color="auto"/>
        <w:right w:val="none" w:sz="0" w:space="0" w:color="auto"/>
      </w:divBdr>
    </w:div>
    <w:div w:id="198346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ah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1</b:Tag>
    <b:SourceType>JournalArticle</b:SourceType>
    <b:Guid>{69CC020C-CE15-6142-9221-D37B9B40AFA5}</b:Guid>
    <b:Title>Developmental neurotoxicity testing: recommendations for developing alternative methods for the screening and prioritization of chemicals.</b:Title>
    <b:Year>2011</b:Year>
    <b:JournalName>ALTEX</b:JournalName>
    <b:Pages>28(1):9-15</b:Pages>
    <b:Author>
      <b:Author>
        <b:NameList>
          <b:Person>
            <b:Last>Crofton KM</b:Last>
            <b:First>Mundy</b:First>
            <b:Middle>WR, Lein PJ, Bal-Price A, Coecke S, Seiler AE, Knaut H, Buzanska L, Goldberg A.</b:Middle>
          </b:Person>
        </b:NameList>
      </b:Author>
    </b:Author>
    <b:RefOrder>1</b:RefOrder>
  </b:Source>
</b:Sources>
</file>

<file path=customXml/itemProps1.xml><?xml version="1.0" encoding="utf-8"?>
<ds:datastoreItem xmlns:ds="http://schemas.openxmlformats.org/officeDocument/2006/customXml" ds:itemID="{42D84975-8E18-5140-A6B9-5081BA39E312}">
  <ds:schemaRefs>
    <ds:schemaRef ds:uri="http://schemas.openxmlformats.org/officeDocument/2006/bibliography"/>
  </ds:schemaRefs>
</ds:datastoreItem>
</file>

<file path=docMetadata/LabelInfo.xml><?xml version="1.0" encoding="utf-8"?>
<clbl:labelList xmlns:clbl="http://schemas.microsoft.com/office/2020/mipLabelMetadata">
  <clbl:label id="{89db4e91-bad5-4fd0-9ca4-c06485916e3a}" enabled="1" method="Standard" siteId="{f66fae02-5d36-495b-bfe0-78a6ff9f8e6e}"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1945</Words>
  <Characters>10703</Characters>
  <Application>Microsoft Office Word</Application>
  <DocSecurity>0</DocSecurity>
  <Lines>89</Lines>
  <Paragraphs>25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SCAHT</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Sandström</dc:creator>
  <cp:keywords/>
  <dc:description/>
  <cp:lastModifiedBy>Microsoft Office User</cp:lastModifiedBy>
  <cp:revision>4</cp:revision>
  <cp:lastPrinted>2026-06-30T07:15:00Z</cp:lastPrinted>
  <dcterms:created xsi:type="dcterms:W3CDTF">2026-08-18T08:41:00Z</dcterms:created>
  <dcterms:modified xsi:type="dcterms:W3CDTF">2026-08-18T11:19:00Z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a26ab-4270-40e8-9235-a503660cf7d6_Enabled">
    <vt:lpwstr>true</vt:lpwstr>
  </property>
  <property fmtid="{D5CDD505-2E9C-101B-9397-08002B2CF9AE}" pid="3" name="MSIP_Label_e8fa26ab-4270-40e8-9235-a503660cf7d6_SetDate">
    <vt:lpwstr>2026-06-22T08:42:20Z</vt:lpwstr>
  </property>
  <property fmtid="{D5CDD505-2E9C-101B-9397-08002B2CF9AE}" pid="4" name="MSIP_Label_e8fa26ab-4270-40e8-9235-a503660cf7d6_Method">
    <vt:lpwstr>Standard</vt:lpwstr>
  </property>
  <property fmtid="{D5CDD505-2E9C-101B-9397-08002B2CF9AE}" pid="5" name="MSIP_Label_e8fa26ab-4270-40e8-9235-a503660cf7d6_Name">
    <vt:lpwstr>Klasse I (tiefes Risiko) - Interne Informationen</vt:lpwstr>
  </property>
  <property fmtid="{D5CDD505-2E9C-101B-9397-08002B2CF9AE}" pid="6" name="MSIP_Label_e8fa26ab-4270-40e8-9235-a503660cf7d6_SiteId">
    <vt:lpwstr>32eb69e5-a150-49b5-b51c-19e9a21954dc</vt:lpwstr>
  </property>
  <property fmtid="{D5CDD505-2E9C-101B-9397-08002B2CF9AE}" pid="7" name="MSIP_Label_e8fa26ab-4270-40e8-9235-a503660cf7d6_ActionId">
    <vt:lpwstr>e6b01486-2886-4087-8b27-64e64b2cf663</vt:lpwstr>
  </property>
  <property fmtid="{D5CDD505-2E9C-101B-9397-08002B2CF9AE}" pid="8" name="MSIP_Label_e8fa26ab-4270-40e8-9235-a503660cf7d6_ContentBits">
    <vt:lpwstr>0</vt:lpwstr>
  </property>
  <property fmtid="{D5CDD505-2E9C-101B-9397-08002B2CF9AE}" pid="9" name="MSIP_Label_e8fa26ab-4270-40e8-9235-a503660cf7d6_Tag">
    <vt:lpwstr>50, 3, 0, 1</vt:lpwstr>
  </property>
</Properties>
</file>